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r w:rsidR="0098578B">
        <w:rPr>
          <w:rFonts w:ascii="Sylfaen" w:eastAsia="Sylfaen" w:hAnsi="Sylfaen"/>
          <w:b/>
          <w:sz w:val="32"/>
          <w:lang w:val="ka-GE"/>
        </w:rPr>
        <w:t>,</w:t>
      </w:r>
      <w:r>
        <w:rPr>
          <w:rFonts w:ascii="Sylfaen" w:eastAsia="Sylfaen" w:hAnsi="Sylfaen"/>
          <w:b/>
          <w:sz w:val="32"/>
        </w:rPr>
        <w:t xml:space="preserve">  ქ.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4240E1">
              <w:rPr>
                <w:noProof/>
                <w:webHidden/>
              </w:rPr>
              <w:t>3</w:t>
            </w:r>
            <w:r w:rsidR="00054304">
              <w:rPr>
                <w:noProof/>
                <w:webHidden/>
              </w:rPr>
              <w:fldChar w:fldCharType="end"/>
            </w:r>
          </w:hyperlink>
        </w:p>
        <w:p w14:paraId="019E4B67" w14:textId="307B2BDE" w:rsidR="00054304" w:rsidRDefault="00A95A53">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4240E1">
              <w:rPr>
                <w:noProof/>
                <w:webHidden/>
              </w:rPr>
              <w:t>4</w:t>
            </w:r>
            <w:r w:rsidR="00054304">
              <w:rPr>
                <w:noProof/>
                <w:webHidden/>
              </w:rPr>
              <w:fldChar w:fldCharType="end"/>
            </w:r>
          </w:hyperlink>
        </w:p>
        <w:p w14:paraId="30BF5468" w14:textId="36409D1E" w:rsidR="00054304" w:rsidRDefault="00A95A53">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4240E1">
              <w:rPr>
                <w:noProof/>
                <w:webHidden/>
              </w:rPr>
              <w:t>7</w:t>
            </w:r>
            <w:r w:rsidR="00054304">
              <w:rPr>
                <w:noProof/>
                <w:webHidden/>
              </w:rPr>
              <w:fldChar w:fldCharType="end"/>
            </w:r>
          </w:hyperlink>
        </w:p>
        <w:p w14:paraId="3715F725" w14:textId="3C298938" w:rsidR="00054304" w:rsidRDefault="00A95A53">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4240E1">
              <w:rPr>
                <w:noProof/>
                <w:webHidden/>
              </w:rPr>
              <w:t>8</w:t>
            </w:r>
            <w:r w:rsidR="00054304">
              <w:rPr>
                <w:noProof/>
                <w:webHidden/>
              </w:rPr>
              <w:fldChar w:fldCharType="end"/>
            </w:r>
          </w:hyperlink>
        </w:p>
        <w:p w14:paraId="60B711DB" w14:textId="10078432" w:rsidR="00054304" w:rsidRDefault="00A95A53">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4240E1">
              <w:rPr>
                <w:noProof/>
                <w:webHidden/>
              </w:rPr>
              <w:t>10</w:t>
            </w:r>
            <w:r w:rsidR="00054304">
              <w:rPr>
                <w:noProof/>
                <w:webHidden/>
              </w:rPr>
              <w:fldChar w:fldCharType="end"/>
            </w:r>
          </w:hyperlink>
        </w:p>
        <w:p w14:paraId="6A34E4C2" w14:textId="45AEE5AD" w:rsidR="00054304" w:rsidRDefault="00A95A53">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4240E1">
              <w:rPr>
                <w:noProof/>
                <w:webHidden/>
              </w:rPr>
              <w:t>17</w:t>
            </w:r>
            <w:r w:rsidR="00054304">
              <w:rPr>
                <w:noProof/>
                <w:webHidden/>
              </w:rPr>
              <w:fldChar w:fldCharType="end"/>
            </w:r>
          </w:hyperlink>
        </w:p>
        <w:p w14:paraId="0A38DD64" w14:textId="25627E05" w:rsidR="00054304" w:rsidRDefault="00A95A53">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4240E1">
              <w:rPr>
                <w:noProof/>
                <w:webHidden/>
              </w:rPr>
              <w:t>20</w:t>
            </w:r>
            <w:r w:rsidR="00054304">
              <w:rPr>
                <w:noProof/>
                <w:webHidden/>
              </w:rPr>
              <w:fldChar w:fldCharType="end"/>
            </w:r>
          </w:hyperlink>
        </w:p>
        <w:p w14:paraId="429202EB" w14:textId="1FD51025" w:rsidR="00054304" w:rsidRDefault="00A95A53">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4240E1">
              <w:rPr>
                <w:noProof/>
                <w:webHidden/>
              </w:rPr>
              <w:t>24</w:t>
            </w:r>
            <w:r w:rsidR="00054304">
              <w:rPr>
                <w:noProof/>
                <w:webHidden/>
              </w:rPr>
              <w:fldChar w:fldCharType="end"/>
            </w:r>
          </w:hyperlink>
        </w:p>
        <w:p w14:paraId="7686D70C" w14:textId="1084F55D" w:rsidR="00054304" w:rsidRDefault="00A95A53">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w:t>
            </w:r>
            <w:r w:rsidR="00054304" w:rsidRPr="00672C30">
              <w:rPr>
                <w:rStyle w:val="Hyperlink"/>
                <w:rFonts w:ascii="Sylfaen" w:hAnsi="Sylfaen"/>
                <w:noProof/>
                <w:lang w:val="ka-GE"/>
              </w:rPr>
              <w:t>ა</w:t>
            </w:r>
            <w:r w:rsidR="00054304" w:rsidRPr="00672C30">
              <w:rPr>
                <w:rStyle w:val="Hyperlink"/>
                <w:rFonts w:ascii="Sylfaen" w:hAnsi="Sylfaen"/>
                <w:noProof/>
                <w:lang w:val="ka-GE"/>
              </w:rPr>
              <w:t>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4240E1">
              <w:rPr>
                <w:noProof/>
                <w:webHidden/>
              </w:rPr>
              <w:t>24</w:t>
            </w:r>
            <w:r w:rsidR="00054304">
              <w:rPr>
                <w:noProof/>
                <w:webHidden/>
              </w:rPr>
              <w:fldChar w:fldCharType="end"/>
            </w:r>
          </w:hyperlink>
        </w:p>
        <w:p w14:paraId="2DF4D3DB" w14:textId="3AC8B4A3" w:rsidR="00054304" w:rsidRDefault="00A95A53">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4240E1">
              <w:rPr>
                <w:noProof/>
                <w:webHidden/>
              </w:rPr>
              <w:t>25</w:t>
            </w:r>
            <w:r w:rsidR="00054304">
              <w:rPr>
                <w:noProof/>
                <w:webHidden/>
              </w:rPr>
              <w:fldChar w:fldCharType="end"/>
            </w:r>
          </w:hyperlink>
        </w:p>
        <w:p w14:paraId="24705300" w14:textId="77DF81F2" w:rsidR="00054304" w:rsidRDefault="00A95A53">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4240E1">
              <w:rPr>
                <w:noProof/>
                <w:webHidden/>
              </w:rPr>
              <w:t>26</w:t>
            </w:r>
            <w:r w:rsidR="00054304">
              <w:rPr>
                <w:noProof/>
                <w:webHidden/>
              </w:rPr>
              <w:fldChar w:fldCharType="end"/>
            </w:r>
          </w:hyperlink>
        </w:p>
        <w:p w14:paraId="042CE3B2" w14:textId="3C7F1254" w:rsidR="00054304" w:rsidRDefault="00A95A53">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w:t>
            </w:r>
            <w:r w:rsidR="00054304" w:rsidRPr="00672C30">
              <w:rPr>
                <w:rStyle w:val="Hyperlink"/>
                <w:rFonts w:ascii="Sylfaen" w:hAnsi="Sylfaen"/>
                <w:noProof/>
                <w:lang w:val="ka-GE"/>
              </w:rPr>
              <w:t>ს</w:t>
            </w:r>
            <w:r w:rsidR="00054304" w:rsidRPr="00672C30">
              <w:rPr>
                <w:rStyle w:val="Hyperlink"/>
                <w:rFonts w:ascii="Sylfaen" w:hAnsi="Sylfaen"/>
                <w:noProof/>
                <w:lang w:val="ka-GE"/>
              </w:rPr>
              <w:t>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4240E1">
              <w:rPr>
                <w:noProof/>
                <w:webHidden/>
              </w:rPr>
              <w:t>28</w:t>
            </w:r>
            <w:r w:rsidR="00054304">
              <w:rPr>
                <w:noProof/>
                <w:webHidden/>
              </w:rPr>
              <w:fldChar w:fldCharType="end"/>
            </w:r>
          </w:hyperlink>
        </w:p>
        <w:p w14:paraId="4927DC16" w14:textId="3919238E" w:rsidR="00054304" w:rsidRDefault="00A95A53">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ანაზღაურებისა და დაკ</w:t>
            </w:r>
            <w:r w:rsidR="00054304" w:rsidRPr="00672C30">
              <w:rPr>
                <w:rStyle w:val="Hyperlink"/>
                <w:rFonts w:ascii="Sylfaen" w:hAnsi="Sylfaen"/>
                <w:noProof/>
                <w:lang w:val="en-GB"/>
              </w:rPr>
              <w:t>ო</w:t>
            </w:r>
            <w:r w:rsidR="00054304" w:rsidRPr="00672C30">
              <w:rPr>
                <w:rStyle w:val="Hyperlink"/>
                <w:rFonts w:ascii="Sylfaen" w:hAnsi="Sylfaen"/>
                <w:noProof/>
                <w:lang w:val="en-GB"/>
              </w:rPr>
              <w:t xml:space="preserve">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4240E1">
              <w:rPr>
                <w:noProof/>
                <w:webHidden/>
              </w:rPr>
              <w:t>28</w:t>
            </w:r>
            <w:r w:rsidR="00054304">
              <w:rPr>
                <w:noProof/>
                <w:webHidden/>
              </w:rPr>
              <w:fldChar w:fldCharType="end"/>
            </w:r>
          </w:hyperlink>
        </w:p>
        <w:p w14:paraId="19330938" w14:textId="5191FB96" w:rsidR="00054304" w:rsidRDefault="00A95A53">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w:t>
            </w:r>
            <w:r w:rsidR="00054304" w:rsidRPr="00672C30">
              <w:rPr>
                <w:rStyle w:val="Hyperlink"/>
                <w:rFonts w:ascii="Sylfaen" w:hAnsi="Sylfaen"/>
                <w:noProof/>
                <w:lang w:val="ka-GE"/>
              </w:rPr>
              <w:t>რ</w:t>
            </w:r>
            <w:r w:rsidR="00054304" w:rsidRPr="00672C30">
              <w:rPr>
                <w:rStyle w:val="Hyperlink"/>
                <w:rFonts w:ascii="Sylfaen" w:hAnsi="Sylfaen"/>
                <w:noProof/>
                <w:lang w:val="ka-GE"/>
              </w:rPr>
              <w:t>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4240E1">
              <w:rPr>
                <w:noProof/>
                <w:webHidden/>
              </w:rPr>
              <w:t>30</w:t>
            </w:r>
            <w:r w:rsidR="00054304">
              <w:rPr>
                <w:noProof/>
                <w:webHidden/>
              </w:rPr>
              <w:fldChar w:fldCharType="end"/>
            </w:r>
          </w:hyperlink>
        </w:p>
        <w:p w14:paraId="55F558EC" w14:textId="09749971" w:rsidR="00054304" w:rsidRDefault="00A95A53">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w:t>
            </w:r>
            <w:r w:rsidR="00054304" w:rsidRPr="00672C30">
              <w:rPr>
                <w:rStyle w:val="Hyperlink"/>
                <w:rFonts w:ascii="Sylfaen" w:hAnsi="Sylfaen"/>
                <w:noProof/>
                <w:lang w:val="en-GB"/>
              </w:rPr>
              <w:t>ლ</w:t>
            </w:r>
            <w:r w:rsidR="00054304" w:rsidRPr="00672C30">
              <w:rPr>
                <w:rStyle w:val="Hyperlink"/>
                <w:rFonts w:ascii="Sylfaen" w:hAnsi="Sylfaen"/>
                <w:noProof/>
                <w:lang w:val="en-GB"/>
              </w:rPr>
              <w:t>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4240E1">
              <w:rPr>
                <w:noProof/>
                <w:webHidden/>
              </w:rPr>
              <w:t>31</w:t>
            </w:r>
            <w:r w:rsidR="00054304">
              <w:rPr>
                <w:noProof/>
                <w:webHidden/>
              </w:rPr>
              <w:fldChar w:fldCharType="end"/>
            </w:r>
          </w:hyperlink>
        </w:p>
        <w:p w14:paraId="40613CB0" w14:textId="14345F98" w:rsidR="00054304" w:rsidRDefault="00A95A53">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4240E1">
              <w:rPr>
                <w:noProof/>
                <w:webHidden/>
              </w:rPr>
              <w:t>32</w:t>
            </w:r>
            <w:r w:rsidR="00054304">
              <w:rPr>
                <w:noProof/>
                <w:webHidden/>
              </w:rPr>
              <w:fldChar w:fldCharType="end"/>
            </w:r>
          </w:hyperlink>
        </w:p>
        <w:p w14:paraId="6D61F571" w14:textId="13C5B586" w:rsidR="00054304" w:rsidRDefault="00A95A53">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w:t>
            </w:r>
            <w:r w:rsidR="00054304" w:rsidRPr="00672C30">
              <w:rPr>
                <w:rStyle w:val="Hyperlink"/>
                <w:rFonts w:ascii="Sylfaen" w:hAnsi="Sylfaen"/>
                <w:noProof/>
                <w:lang w:val="ka-GE"/>
              </w:rPr>
              <w:t>ლ</w:t>
            </w:r>
            <w:r w:rsidR="00054304" w:rsidRPr="00672C30">
              <w:rPr>
                <w:rStyle w:val="Hyperlink"/>
                <w:rFonts w:ascii="Sylfaen" w:hAnsi="Sylfaen"/>
                <w:noProof/>
                <w:lang w:val="ka-GE"/>
              </w:rPr>
              <w:t>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4240E1">
              <w:rPr>
                <w:noProof/>
                <w:webHidden/>
              </w:rPr>
              <w:t>33</w:t>
            </w:r>
            <w:r w:rsidR="00054304">
              <w:rPr>
                <w:noProof/>
                <w:webHidden/>
              </w:rPr>
              <w:fldChar w:fldCharType="end"/>
            </w:r>
          </w:hyperlink>
        </w:p>
        <w:p w14:paraId="6211D128" w14:textId="78AA3023" w:rsidR="00054304" w:rsidRDefault="00A95A53">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4240E1">
              <w:rPr>
                <w:noProof/>
                <w:webHidden/>
              </w:rPr>
              <w:t>34</w:t>
            </w:r>
            <w:r w:rsidR="00054304">
              <w:rPr>
                <w:noProof/>
                <w:webHidden/>
              </w:rPr>
              <w:fldChar w:fldCharType="end"/>
            </w:r>
          </w:hyperlink>
        </w:p>
        <w:p w14:paraId="6091D4F4" w14:textId="26E33316" w:rsidR="00054304" w:rsidRDefault="00A95A53">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4240E1">
              <w:rPr>
                <w:noProof/>
                <w:webHidden/>
              </w:rPr>
              <w:t>35</w:t>
            </w:r>
            <w:r w:rsidR="00054304">
              <w:rPr>
                <w:noProof/>
                <w:webHidden/>
              </w:rPr>
              <w:fldChar w:fldCharType="end"/>
            </w:r>
          </w:hyperlink>
        </w:p>
        <w:p w14:paraId="55A38448" w14:textId="212C7440" w:rsidR="00054304" w:rsidRDefault="00A95A53">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4240E1">
              <w:rPr>
                <w:noProof/>
                <w:webHidden/>
              </w:rPr>
              <w:t>36</w:t>
            </w:r>
            <w:r w:rsidR="00054304">
              <w:rPr>
                <w:noProof/>
                <w:webHidden/>
              </w:rPr>
              <w:fldChar w:fldCharType="end"/>
            </w:r>
          </w:hyperlink>
        </w:p>
        <w:p w14:paraId="7D16B0B8" w14:textId="2F355633" w:rsidR="00054304" w:rsidRDefault="00A95A53">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4240E1">
              <w:rPr>
                <w:noProof/>
                <w:webHidden/>
              </w:rPr>
              <w:t>36</w:t>
            </w:r>
            <w:r w:rsidR="00054304">
              <w:rPr>
                <w:noProof/>
                <w:webHidden/>
              </w:rPr>
              <w:fldChar w:fldCharType="end"/>
            </w:r>
          </w:hyperlink>
        </w:p>
        <w:p w14:paraId="6A8678A1" w14:textId="70187B05" w:rsidR="00054304" w:rsidRDefault="00A95A53">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4240E1">
              <w:rPr>
                <w:noProof/>
                <w:webHidden/>
              </w:rPr>
              <w:t>37</w:t>
            </w:r>
            <w:r w:rsidR="00054304">
              <w:rPr>
                <w:noProof/>
                <w:webHidden/>
              </w:rPr>
              <w:fldChar w:fldCharType="end"/>
            </w:r>
          </w:hyperlink>
        </w:p>
        <w:p w14:paraId="43CEA702" w14:textId="00876373" w:rsidR="00054304" w:rsidRDefault="00A95A53">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4240E1">
              <w:rPr>
                <w:noProof/>
                <w:webHidden/>
              </w:rPr>
              <w:t>37</w:t>
            </w:r>
            <w:r w:rsidR="00054304">
              <w:rPr>
                <w:noProof/>
                <w:webHidden/>
              </w:rPr>
              <w:fldChar w:fldCharType="end"/>
            </w:r>
          </w:hyperlink>
        </w:p>
        <w:p w14:paraId="69E9CE7E" w14:textId="3FA007CD" w:rsidR="00054304" w:rsidRDefault="00A95A53">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4240E1">
              <w:rPr>
                <w:noProof/>
                <w:webHidden/>
              </w:rPr>
              <w:t>38</w:t>
            </w:r>
            <w:r w:rsidR="00054304">
              <w:rPr>
                <w:noProof/>
                <w:webHidden/>
              </w:rPr>
              <w:fldChar w:fldCharType="end"/>
            </w:r>
          </w:hyperlink>
        </w:p>
        <w:p w14:paraId="49A39EA6" w14:textId="38425586" w:rsidR="00054304" w:rsidRDefault="00A95A53">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4240E1">
              <w:rPr>
                <w:noProof/>
                <w:webHidden/>
              </w:rPr>
              <w:t>38</w:t>
            </w:r>
            <w:r w:rsidR="00054304">
              <w:rPr>
                <w:noProof/>
                <w:webHidden/>
              </w:rPr>
              <w:fldChar w:fldCharType="end"/>
            </w:r>
          </w:hyperlink>
        </w:p>
        <w:p w14:paraId="250A2F35" w14:textId="7D6E350D" w:rsidR="00054304" w:rsidRDefault="00A95A53">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4240E1">
              <w:rPr>
                <w:noProof/>
                <w:webHidden/>
              </w:rPr>
              <w:t>38</w:t>
            </w:r>
            <w:r w:rsidR="00054304">
              <w:rPr>
                <w:noProof/>
                <w:webHidden/>
              </w:rPr>
              <w:fldChar w:fldCharType="end"/>
            </w:r>
          </w:hyperlink>
        </w:p>
        <w:p w14:paraId="12C1C31F" w14:textId="4001F8EF" w:rsidR="00054304" w:rsidRDefault="00A95A53">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4240E1">
              <w:rPr>
                <w:noProof/>
                <w:webHidden/>
              </w:rPr>
              <w:t>39</w:t>
            </w:r>
            <w:r w:rsidR="00054304">
              <w:rPr>
                <w:noProof/>
                <w:webHidden/>
              </w:rPr>
              <w:fldChar w:fldCharType="end"/>
            </w:r>
          </w:hyperlink>
        </w:p>
        <w:p w14:paraId="2E673EF3" w14:textId="0DAA553C" w:rsidR="00054304" w:rsidRDefault="00A95A53">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4240E1">
              <w:rPr>
                <w:noProof/>
                <w:webHidden/>
              </w:rPr>
              <w:t>40</w:t>
            </w:r>
            <w:r w:rsidR="00054304">
              <w:rPr>
                <w:noProof/>
                <w:webHidden/>
              </w:rPr>
              <w:fldChar w:fldCharType="end"/>
            </w:r>
          </w:hyperlink>
        </w:p>
        <w:p w14:paraId="49E6BD14" w14:textId="63EC5DFC" w:rsidR="00054304" w:rsidRDefault="00A95A53">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4240E1">
              <w:rPr>
                <w:noProof/>
                <w:webHidden/>
              </w:rPr>
              <w:t>40</w:t>
            </w:r>
            <w:r w:rsidR="00054304">
              <w:rPr>
                <w:noProof/>
                <w:webHidden/>
              </w:rPr>
              <w:fldChar w:fldCharType="end"/>
            </w:r>
          </w:hyperlink>
        </w:p>
        <w:p w14:paraId="33F08913" w14:textId="08CFA746" w:rsidR="00054304" w:rsidRDefault="00A95A53">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4240E1">
              <w:rPr>
                <w:noProof/>
                <w:webHidden/>
              </w:rPr>
              <w:t>41</w:t>
            </w:r>
            <w:r w:rsidR="00054304">
              <w:rPr>
                <w:noProof/>
                <w:webHidden/>
              </w:rPr>
              <w:fldChar w:fldCharType="end"/>
            </w:r>
          </w:hyperlink>
        </w:p>
        <w:p w14:paraId="2DC76B74" w14:textId="453B5040" w:rsidR="00054304" w:rsidRDefault="00A95A53">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4240E1">
              <w:rPr>
                <w:noProof/>
                <w:webHidden/>
              </w:rPr>
              <w:t>43</w:t>
            </w:r>
            <w:r w:rsidR="00054304">
              <w:rPr>
                <w:noProof/>
                <w:webHidden/>
              </w:rPr>
              <w:fldChar w:fldCharType="end"/>
            </w:r>
          </w:hyperlink>
        </w:p>
        <w:p w14:paraId="56721AE7" w14:textId="49375DE8" w:rsidR="00054304" w:rsidRDefault="00A95A53">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4240E1">
              <w:rPr>
                <w:noProof/>
                <w:webHidden/>
              </w:rPr>
              <w:t>48</w:t>
            </w:r>
            <w:r w:rsidR="00054304">
              <w:rPr>
                <w:noProof/>
                <w:webHidden/>
              </w:rPr>
              <w:fldChar w:fldCharType="end"/>
            </w:r>
          </w:hyperlink>
        </w:p>
        <w:p w14:paraId="50837C94" w14:textId="3FCDB3E5"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85"/>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1009FDC2"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w:t>
            </w:r>
            <w:r w:rsidR="006658DD">
              <w:rPr>
                <w:rFonts w:ascii="Sylfaen" w:eastAsia="Calibri" w:hAnsi="Sylfaen" w:cs="Calibri"/>
              </w:rPr>
              <w:t>olitical, Economic, Social and T</w:t>
            </w:r>
            <w:r w:rsidR="007D6254">
              <w:rPr>
                <w:rFonts w:ascii="Sylfaen" w:eastAsia="Calibri" w:hAnsi="Sylfaen" w:cs="Calibri"/>
              </w:rPr>
              <w:t>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3A4B848C" w:rsidR="007D6254" w:rsidRPr="007D6254" w:rsidRDefault="001E515A" w:rsidP="00EF409F">
            <w:pPr>
              <w:jc w:val="both"/>
              <w:rPr>
                <w:rFonts w:ascii="Sylfaen" w:hAnsi="Sylfaen"/>
                <w:lang w:val="en-US"/>
              </w:rPr>
            </w:pPr>
            <w:r w:rsidRPr="007D6488">
              <w:rPr>
                <w:rFonts w:ascii="Sylfaen" w:hAnsi="Sylfaen"/>
                <w:lang w:val="ka-GE"/>
              </w:rPr>
              <w:t>ძლიერი და სუსტი მხარეების</w:t>
            </w:r>
            <w:r w:rsidR="00FE5724">
              <w:rPr>
                <w:rFonts w:ascii="Sylfaen" w:hAnsi="Sylfaen"/>
                <w:lang w:val="en-US"/>
              </w:rPr>
              <w:t>,</w:t>
            </w:r>
            <w:r w:rsidRPr="007D6488">
              <w:rPr>
                <w:rFonts w:ascii="Sylfaen" w:hAnsi="Sylfaen"/>
                <w:lang w:val="ka-GE"/>
              </w:rPr>
              <w:t xml:space="preserve">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w:t>
            </w:r>
            <w:r w:rsidR="00FE5724">
              <w:rPr>
                <w:rFonts w:ascii="Sylfaen" w:eastAsia="Calibri" w:hAnsi="Sylfaen" w:cs="Calibri"/>
              </w:rPr>
              <w:t>,</w:t>
            </w:r>
            <w:r w:rsidR="007D6254" w:rsidRPr="00EF409F">
              <w:rPr>
                <w:rFonts w:ascii="Sylfaen" w:eastAsia="Calibri" w:hAnsi="Sylfaen" w:cs="Calibri"/>
              </w:rPr>
              <w:t xml:space="preserve">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6C73BBAF" w:rsidR="007D6254" w:rsidRPr="000850FF" w:rsidRDefault="001076DE" w:rsidP="007D6254">
            <w:pPr>
              <w:spacing w:line="276" w:lineRule="auto"/>
              <w:jc w:val="both"/>
              <w:rPr>
                <w:rFonts w:ascii="Sylfaen" w:eastAsia="Calibri" w:hAnsi="Sylfaen" w:cs="Calibri"/>
                <w:b/>
                <w:lang w:val="ka-GE"/>
              </w:rPr>
            </w:pPr>
            <w:r>
              <w:rPr>
                <w:rFonts w:ascii="Sylfaen" w:eastAsia="Calibri" w:hAnsi="Sylfaen" w:cs="Calibri"/>
                <w:b/>
                <w:lang w:val="ka-GE"/>
              </w:rPr>
              <w:t>სააგენტო</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2EF42375" w:rsidR="007D6254" w:rsidRPr="000850FF" w:rsidRDefault="005539C5" w:rsidP="007D6254">
            <w:pPr>
              <w:spacing w:line="276" w:lineRule="auto"/>
              <w:jc w:val="both"/>
              <w:rPr>
                <w:rFonts w:ascii="Sylfaen" w:eastAsia="Calibri" w:hAnsi="Sylfaen" w:cs="Calibri"/>
                <w:b/>
                <w:lang w:val="ka-GE"/>
              </w:rPr>
            </w:pPr>
            <w:r>
              <w:rPr>
                <w:rFonts w:ascii="Sylfaen" w:eastAsia="Calibri" w:hAnsi="Sylfaen" w:cs="Calibri"/>
                <w:b/>
                <w:lang w:val="ka-GE"/>
              </w:rPr>
              <w:t>რეგულირების სააგენტო</w:t>
            </w:r>
          </w:p>
        </w:tc>
        <w:tc>
          <w:tcPr>
            <w:tcW w:w="7285" w:type="dxa"/>
          </w:tcPr>
          <w:p w14:paraId="538A35D3" w14:textId="77777777" w:rsidR="007D6254"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p w14:paraId="61248913" w14:textId="5A60EDA8" w:rsidR="005539C5" w:rsidRPr="000850FF" w:rsidRDefault="005539C5" w:rsidP="007D6254">
            <w:pPr>
              <w:spacing w:line="276" w:lineRule="auto"/>
              <w:jc w:val="both"/>
              <w:rPr>
                <w:rFonts w:ascii="Sylfaen" w:hAnsi="Sylfaen"/>
                <w:lang w:val="ka-GE"/>
              </w:rPr>
            </w:pPr>
          </w:p>
        </w:tc>
      </w:tr>
      <w:tr w:rsidR="007D6254" w14:paraId="33E19540" w14:textId="77777777" w:rsidTr="00297566">
        <w:tc>
          <w:tcPr>
            <w:tcW w:w="1951" w:type="dxa"/>
          </w:tcPr>
          <w:p w14:paraId="52E55CD6" w14:textId="77777777" w:rsidR="007D6254"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p w14:paraId="61999DE1" w14:textId="77777777" w:rsidR="003C32D2" w:rsidRDefault="003C32D2" w:rsidP="007D6254">
            <w:pPr>
              <w:spacing w:line="276" w:lineRule="auto"/>
              <w:jc w:val="both"/>
              <w:rPr>
                <w:rFonts w:ascii="Sylfaen" w:eastAsia="Calibri" w:hAnsi="Sylfaen" w:cs="Calibri"/>
                <w:b/>
                <w:lang w:val="ka-GE"/>
              </w:rPr>
            </w:pPr>
          </w:p>
          <w:p w14:paraId="6759A1AE" w14:textId="7BDDDD27" w:rsidR="003C32D2" w:rsidRPr="000850FF" w:rsidRDefault="003C32D2" w:rsidP="007D6254">
            <w:pPr>
              <w:spacing w:line="276" w:lineRule="auto"/>
              <w:jc w:val="both"/>
              <w:rPr>
                <w:rFonts w:ascii="Sylfaen" w:eastAsia="Calibri" w:hAnsi="Sylfaen" w:cs="Calibri"/>
                <w:b/>
                <w:lang w:val="ka-GE"/>
              </w:rPr>
            </w:pPr>
            <w:r>
              <w:rPr>
                <w:rFonts w:ascii="Sylfaen" w:eastAsia="Calibri" w:hAnsi="Sylfaen" w:cs="Calibri"/>
                <w:b/>
                <w:lang w:val="ka-GE"/>
              </w:rPr>
              <w:t>ცენტრი</w:t>
            </w:r>
          </w:p>
        </w:tc>
        <w:tc>
          <w:tcPr>
            <w:tcW w:w="7285" w:type="dxa"/>
          </w:tcPr>
          <w:p w14:paraId="71B10B32" w14:textId="77777777" w:rsidR="007D6254"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p w14:paraId="66A0BD61" w14:textId="77777777" w:rsidR="001076DE" w:rsidRDefault="001076DE" w:rsidP="007D6254">
            <w:pPr>
              <w:spacing w:line="276" w:lineRule="auto"/>
              <w:jc w:val="both"/>
              <w:rPr>
                <w:rFonts w:ascii="Sylfaen" w:hAnsi="Sylfaen"/>
                <w:lang w:val="ka-GE"/>
              </w:rPr>
            </w:pPr>
          </w:p>
          <w:p w14:paraId="749C8685" w14:textId="1CF06D0E" w:rsidR="001076DE" w:rsidRPr="000850FF" w:rsidRDefault="001076DE" w:rsidP="007D6254">
            <w:pPr>
              <w:spacing w:line="276" w:lineRule="auto"/>
              <w:jc w:val="both"/>
              <w:rPr>
                <w:rFonts w:ascii="Sylfaen" w:hAnsi="Sylfaen"/>
                <w:lang w:val="ka-GE"/>
              </w:rPr>
            </w:pPr>
            <w:r>
              <w:rPr>
                <w:rFonts w:ascii="Sylfaen" w:hAnsi="Sylfaen"/>
                <w:lang w:val="ka-GE"/>
              </w:rPr>
              <w:t>სსიპ ლ. საყვარელიძის სახელობის საზოგადოებრივი ჯანმრთელობისა და  დაავადებათა კონტროლის ეროვნული ცენტრი</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059D7B69"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8112510"/>
      <w:r w:rsidRPr="00EB2424">
        <w:rPr>
          <w:rFonts w:ascii="Sylfaen" w:hAnsi="Sylfaen"/>
          <w:sz w:val="24"/>
          <w:szCs w:val="22"/>
          <w:lang w:val="ka-GE"/>
        </w:rPr>
        <w:lastRenderedPageBreak/>
        <w:t>შესავალი</w:t>
      </w:r>
      <w:bookmarkEnd w:id="1"/>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6AE6F5B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w:t>
      </w:r>
      <w:r w:rsidR="006658DD">
        <w:rPr>
          <w:rFonts w:ascii="Sylfaen" w:hAnsi="Sylfaen"/>
        </w:rPr>
        <w:t>2</w:t>
      </w:r>
      <w:r w:rsidRPr="00A119D1">
        <w:rPr>
          <w:rFonts w:ascii="Sylfaen" w:hAnsi="Sylfaen"/>
          <w:lang w:val="ka-GE"/>
        </w:rPr>
        <w:t>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 ძირითად სერვისებ</w:t>
      </w:r>
      <w:r w:rsidR="006658DD">
        <w:rPr>
          <w:rFonts w:ascii="Sylfaen" w:hAnsi="Sylfaen"/>
          <w:lang w:val="ka-GE"/>
        </w:rPr>
        <w:t>ზე</w:t>
      </w:r>
      <w:r w:rsidRPr="00A119D1">
        <w:rPr>
          <w:rFonts w:ascii="Sylfaen" w:hAnsi="Sylfaen"/>
          <w:lang w:val="ka-GE"/>
        </w:rPr>
        <w:t xml:space="preserve"> ხელმისაწვდომობა, ასევე</w:t>
      </w:r>
      <w:r w:rsidR="006658DD">
        <w:rPr>
          <w:rFonts w:ascii="Sylfaen" w:hAnsi="Sylfaen"/>
          <w:lang w:val="ka-GE"/>
        </w:rPr>
        <w:t>,</w:t>
      </w:r>
      <w:r w:rsidRPr="00A119D1">
        <w:rPr>
          <w:rFonts w:ascii="Sylfaen" w:hAnsi="Sylfaen"/>
          <w:lang w:val="ka-GE"/>
        </w:rPr>
        <w:t xml:space="preserve"> უსაფრთხო</w:t>
      </w:r>
      <w:r w:rsidR="006658DD">
        <w:rPr>
          <w:rFonts w:ascii="Sylfaen" w:hAnsi="Sylfaen"/>
          <w:lang w:val="ka-GE"/>
        </w:rPr>
        <w:t xml:space="preserve"> და</w:t>
      </w:r>
      <w:r w:rsidRPr="00A119D1">
        <w:rPr>
          <w:rFonts w:ascii="Sylfaen" w:hAnsi="Sylfaen"/>
          <w:lang w:val="ka-GE"/>
        </w:rPr>
        <w:t xml:space="preserve"> ეფექტიან ხარისხიან ძირითად მედიკამენტებისა და ვაქცინებ</w:t>
      </w:r>
      <w:r w:rsidR="006658DD">
        <w:rPr>
          <w:rFonts w:ascii="Sylfaen" w:hAnsi="Sylfaen"/>
          <w:lang w:val="ka-GE"/>
        </w:rPr>
        <w:t>ზე</w:t>
      </w:r>
      <w:r w:rsidRPr="00A119D1">
        <w:rPr>
          <w:rFonts w:ascii="Sylfaen" w:hAnsi="Sylfaen"/>
          <w:lang w:val="ka-GE"/>
        </w:rPr>
        <w:t xml:space="preserve">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lastRenderedPageBreak/>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4782EAA4"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w:t>
      </w:r>
      <w:r w:rsidR="00FE5724">
        <w:rPr>
          <w:rFonts w:ascii="Sylfaen" w:hAnsi="Sylfaen" w:cs="Sylfaen"/>
          <w:lang w:val="ka-GE"/>
        </w:rPr>
        <w:t xml:space="preserve">მრთელობის </w:t>
      </w:r>
      <w:r w:rsidR="008C0CC8" w:rsidRPr="00A119D1">
        <w:rPr>
          <w:rFonts w:ascii="Sylfaen" w:hAnsi="Sylfaen" w:cs="Sylfaen"/>
          <w:lang w:val="ka-GE"/>
        </w:rPr>
        <w:t>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4198F3CC" w:rsidR="00297566" w:rsidRPr="00297566" w:rsidRDefault="00A119D1" w:rsidP="00BC458D">
      <w:pPr>
        <w:spacing w:line="276" w:lineRule="auto"/>
        <w:jc w:val="both"/>
        <w:rPr>
          <w:rFonts w:ascii="Sylfaen" w:hAnsi="Sylfaen"/>
          <w:lang w:val="ka-GE"/>
        </w:rPr>
      </w:pPr>
      <w:r w:rsidRPr="00A119D1">
        <w:rPr>
          <w:rFonts w:ascii="Sylfaen" w:hAnsi="Sylfaen"/>
          <w:lang w:val="ka-GE"/>
        </w:rPr>
        <w:t>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w:t>
      </w:r>
      <w:r w:rsidR="00A57E53">
        <w:rPr>
          <w:rFonts w:ascii="Sylfaen" w:hAnsi="Sylfaen"/>
          <w:lang w:val="ka-GE"/>
        </w:rPr>
        <w:t xml:space="preserve"> </w:t>
      </w:r>
      <w:r w:rsidR="00A57E53" w:rsidRPr="00104306">
        <w:rPr>
          <w:rFonts w:ascii="Sylfaen" w:hAnsi="Sylfaen"/>
          <w:lang w:val="ka-GE"/>
        </w:rPr>
        <w:t xml:space="preserve">(შემდგომში - სამინისტრო) </w:t>
      </w:r>
      <w:r w:rsidRPr="00A119D1">
        <w:rPr>
          <w:rFonts w:ascii="Sylfaen" w:hAnsi="Sylfaen"/>
          <w:lang w:val="ka-GE"/>
        </w:rPr>
        <w:t xml:space="preserve">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r w:rsidR="00350318">
        <w:rPr>
          <w:rFonts w:ascii="Sylfaen" w:hAnsi="Sylfaen" w:cs="Sylfaen"/>
          <w:lang w:val="ka-GE"/>
        </w:rPr>
        <w:t xml:space="preserve"> (შემდგომში - სააგენტო)</w:t>
      </w:r>
      <w:r w:rsidR="00BB3F95" w:rsidRPr="00A119D1">
        <w:rPr>
          <w:rFonts w:ascii="Sylfaen" w:hAnsi="Sylfaen" w:cs="Sylfaen"/>
          <w:lang w:val="ka-GE"/>
        </w:rPr>
        <w:t xml:space="preserve">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lastRenderedPageBreak/>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13FACFE"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18DDCD7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ხარჯ</w:t>
      </w:r>
      <w:r w:rsidR="009E4B1B">
        <w:rPr>
          <w:rFonts w:ascii="Sylfaen" w:hAnsi="Sylfaen"/>
          <w:lang w:val="ka-GE"/>
        </w:rPr>
        <w:t>თ</w:t>
      </w:r>
      <w:r w:rsidR="00CF14D6" w:rsidRPr="00A119D1">
        <w:rPr>
          <w:rFonts w:ascii="Sylfaen" w:hAnsi="Sylfaen"/>
          <w:lang w:val="ka-GE"/>
        </w:rPr>
        <w:t xml:space="preserve">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 xml:space="preserve">სახეობების </w:t>
      </w:r>
      <w:r w:rsidRPr="00A119D1">
        <w:rPr>
          <w:rFonts w:ascii="Sylfaen" w:hAnsi="Sylfaen"/>
          <w:lang w:val="ka-GE"/>
        </w:rPr>
        <w:lastRenderedPageBreak/>
        <w:t>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6C7D3AC6"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475DA203"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სამინისტროს ხელმძღვანელობით, </w:t>
      </w:r>
      <w:r>
        <w:rPr>
          <w:rFonts w:ascii="Sylfaen" w:hAnsi="Sylfaen"/>
          <w:lang w:val="ka-GE"/>
        </w:rPr>
        <w:t>ჯანმრთელობის მსოფლიო ორგან</w:t>
      </w:r>
      <w:r w:rsidR="009E4B1B">
        <w:rPr>
          <w:rFonts w:ascii="Sylfaen" w:hAnsi="Sylfaen"/>
          <w:lang w:val="ka-GE"/>
        </w:rPr>
        <w:t>ი</w:t>
      </w:r>
      <w:r>
        <w:rPr>
          <w:rFonts w:ascii="Sylfaen" w:hAnsi="Sylfaen"/>
          <w:lang w:val="ka-GE"/>
        </w:rPr>
        <w:t xml:space="preserve">ზაციის,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4232D16B"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სააგენტო</w:t>
      </w:r>
      <w:r w:rsidR="009E4B1B">
        <w:rPr>
          <w:rFonts w:ascii="Sylfaen" w:hAnsi="Sylfaen"/>
          <w:lang w:val="ka-GE"/>
        </w:rPr>
        <w:t>, ხოლო</w:t>
      </w:r>
      <w:r w:rsidR="00B83152">
        <w:rPr>
          <w:rFonts w:ascii="Sylfaen" w:hAnsi="Sylfaen"/>
          <w:lang w:val="ka-GE"/>
        </w:rPr>
        <w:t xml:space="preserve"> არაპირდაპირს </w:t>
      </w:r>
      <w:r w:rsidR="009E4B1B">
        <w:rPr>
          <w:rFonts w:ascii="Sylfaen" w:hAnsi="Sylfaen"/>
          <w:lang w:val="ka-GE"/>
        </w:rPr>
        <w:t>-</w:t>
      </w:r>
      <w:r w:rsidR="00B83152">
        <w:rPr>
          <w:rFonts w:ascii="Sylfaen" w:hAnsi="Sylfaen"/>
          <w:lang w:val="ka-GE"/>
        </w:rPr>
        <w:t xml:space="preserve">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2" w:name="_Toc515375549"/>
      <w:bookmarkStart w:id="3" w:name="_Toc8112511"/>
      <w:bookmarkEnd w:id="2"/>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3"/>
    </w:p>
    <w:p w14:paraId="4B963DD0" w14:textId="14709047"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w:t>
      </w:r>
      <w:r w:rsidR="00E73042" w:rsidRPr="007D6488">
        <w:rPr>
          <w:rFonts w:ascii="Sylfaen" w:hAnsi="Sylfaen"/>
          <w:lang w:val="ka-GE"/>
        </w:rPr>
        <w:lastRenderedPageBreak/>
        <w:t xml:space="preserve">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 xml:space="preserve">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4"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4"/>
    </w:p>
    <w:p w14:paraId="0BC08EDD" w14:textId="75908E38"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სტ</w:t>
      </w:r>
      <w:r w:rsidR="00F21ED2">
        <w:rPr>
          <w:rFonts w:ascii="Sylfaen" w:hAnsi="Sylfaen"/>
          <w:bCs/>
          <w:lang w:val="ka-GE"/>
        </w:rPr>
        <w:t>რ</w:t>
      </w:r>
      <w:r w:rsidRPr="007D6488">
        <w:rPr>
          <w:rFonts w:ascii="Sylfaen" w:hAnsi="Sylfaen"/>
          <w:bCs/>
          <w:lang w:val="ka-GE"/>
        </w:rPr>
        <w:t>ატეგიის შემუშავების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10213AAF"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xml:space="preserve">, წინა წელთან </w:t>
      </w:r>
      <w:r w:rsidR="0021769B">
        <w:rPr>
          <w:rFonts w:ascii="Sylfaen" w:hAnsi="Sylfaen"/>
          <w:lang w:val="ka-GE"/>
        </w:rPr>
        <w:lastRenderedPageBreak/>
        <w:t>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8D12CCE"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0210B9">
        <w:rPr>
          <w:rFonts w:ascii="Sylfaen" w:hAnsi="Sylfaen"/>
          <w:lang w:val="ka-GE"/>
        </w:rPr>
        <w:t>ი მოვლის</w:t>
      </w:r>
      <w:r w:rsidR="00657111" w:rsidRPr="007D6488">
        <w:rPr>
          <w:rFonts w:ascii="Sylfaen" w:hAnsi="Sylfaen"/>
          <w:lang w:val="ka-GE"/>
        </w:rPr>
        <w:t xml:space="preserve">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lastRenderedPageBreak/>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5"/>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1ACC52B9" w:rsidR="00861FD0" w:rsidRPr="007D6488" w:rsidRDefault="002F7DD4" w:rsidP="00BC458D">
      <w:pPr>
        <w:spacing w:line="276" w:lineRule="auto"/>
        <w:jc w:val="both"/>
        <w:rPr>
          <w:rFonts w:ascii="Sylfaen" w:hAnsi="Sylfaen"/>
          <w:bCs/>
          <w:lang w:val="ka-GE"/>
        </w:rPr>
      </w:pPr>
      <w:r w:rsidRPr="007D6488">
        <w:rPr>
          <w:rFonts w:ascii="Sylfaen" w:hAnsi="Sylfaen"/>
          <w:b/>
          <w:i/>
          <w:lang w:val="ka-GE"/>
        </w:rPr>
        <w:lastRenderedPageBreak/>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w:t>
      </w:r>
      <w:r w:rsidR="00F407D5">
        <w:rPr>
          <w:rFonts w:ascii="Sylfaen" w:hAnsi="Sylfaen"/>
          <w:bCs/>
        </w:rPr>
        <w:t>5</w:t>
      </w:r>
      <w:r w:rsidR="00F94471" w:rsidRPr="007D6488">
        <w:rPr>
          <w:rFonts w:ascii="Sylfaen" w:hAnsi="Sylfaen"/>
          <w:bCs/>
          <w:lang w:val="ka-GE"/>
        </w:rPr>
        <w:t>%).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352A41">
        <w:rPr>
          <w:rStyle w:val="FootnoteReference"/>
          <w:rFonts w:ascii="Sylfaen" w:hAnsi="Sylfaen"/>
          <w:bCs/>
          <w:lang w:val="ka-GE"/>
        </w:rPr>
        <w:footnoteReference w:id="13"/>
      </w:r>
      <w:r w:rsidR="00F94471" w:rsidRPr="007D6488">
        <w:rPr>
          <w:rFonts w:ascii="Sylfaen" w:hAnsi="Sylfaen"/>
          <w:bCs/>
          <w:lang w:val="ka-GE"/>
        </w:rPr>
        <w:t xml:space="preserve">. </w:t>
      </w:r>
      <w:r w:rsidR="00352A41">
        <w:rPr>
          <w:rFonts w:ascii="Sylfaen" w:hAnsi="Sylfaen"/>
          <w:bCs/>
          <w:lang w:val="ka-GE"/>
        </w:rPr>
        <w:t>201</w:t>
      </w:r>
      <w:r w:rsidR="000210B9">
        <w:rPr>
          <w:rFonts w:ascii="Sylfaen" w:hAnsi="Sylfaen"/>
          <w:bCs/>
          <w:lang w:val="ka-GE"/>
        </w:rPr>
        <w:t>2</w:t>
      </w:r>
      <w:r w:rsidR="00352A41">
        <w:rPr>
          <w:rFonts w:ascii="Sylfaen" w:hAnsi="Sylfaen"/>
          <w:bCs/>
          <w:lang w:val="ka-GE"/>
        </w:rPr>
        <w:t>-201</w:t>
      </w:r>
      <w:r w:rsidR="000210B9">
        <w:rPr>
          <w:rFonts w:ascii="Sylfaen" w:hAnsi="Sylfaen"/>
          <w:bCs/>
          <w:lang w:val="ka-GE"/>
        </w:rPr>
        <w:t>7</w:t>
      </w:r>
      <w:r w:rsidR="00352A41">
        <w:rPr>
          <w:rFonts w:ascii="Sylfaen" w:hAnsi="Sylfaen"/>
          <w:bCs/>
          <w:lang w:val="ka-GE"/>
        </w:rPr>
        <w:t xml:space="preserve"> 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დანახარჯების ზრდის თვალსაზრისით საყურადღებოა სამედიცინო სექტორში ინფლაციის დონე</w:t>
      </w:r>
      <w:r w:rsidR="00352A41">
        <w:rPr>
          <w:rFonts w:ascii="Sylfaen" w:hAnsi="Sylfaen"/>
          <w:bCs/>
          <w:lang w:val="ka-GE"/>
        </w:rPr>
        <w:t>. 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 xml:space="preserve">ინფლაციის მაჩვენებელი განსაკუთრებით </w:t>
      </w:r>
      <w:r w:rsidR="00392834">
        <w:rPr>
          <w:rFonts w:ascii="Sylfaen" w:hAnsi="Sylfaen"/>
          <w:bCs/>
          <w:lang w:val="ka-GE"/>
        </w:rPr>
        <w:t>საყურადღებო</w:t>
      </w:r>
      <w:r w:rsidR="006773FE" w:rsidRPr="007D6488">
        <w:rPr>
          <w:rFonts w:ascii="Sylfaen" w:hAnsi="Sylfaen"/>
          <w:bCs/>
          <w:lang w:val="ka-GE"/>
        </w:rPr>
        <w:t xml:space="preserve">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4942589E"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r w:rsidR="00CA4E55">
        <w:rPr>
          <w:rFonts w:ascii="Sylfaen" w:hAnsi="Sylfaen"/>
          <w:lang w:val="ka-GE"/>
        </w:rPr>
        <w:t xml:space="preserve">   </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lastRenderedPageBreak/>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72CE0FCB"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5A2195C0" w:rsidR="00A060E7" w:rsidRPr="007D6488" w:rsidRDefault="00003732" w:rsidP="00BC458D">
      <w:pPr>
        <w:spacing w:line="276" w:lineRule="auto"/>
        <w:jc w:val="both"/>
        <w:rPr>
          <w:rFonts w:ascii="Sylfaen" w:hAnsi="Sylfaen"/>
          <w:lang w:val="ka-GE"/>
        </w:rPr>
      </w:pPr>
      <w:r>
        <w:rPr>
          <w:rFonts w:ascii="Sylfaen" w:hAnsi="Sylfaen"/>
          <w:lang w:val="ka-GE"/>
        </w:rPr>
        <w:t>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w:t>
      </w:r>
      <w:r w:rsidR="005F67F3">
        <w:rPr>
          <w:rFonts w:ascii="Sylfaen" w:hAnsi="Sylfaen"/>
          <w:lang w:val="ka-GE"/>
        </w:rPr>
        <w:t xml:space="preserve"> ამავდროულად,</w:t>
      </w:r>
      <w:r>
        <w:rPr>
          <w:rFonts w:ascii="Sylfaen" w:hAnsi="Sylfaen"/>
          <w:lang w:val="ka-GE"/>
        </w:rPr>
        <w:t xml:space="preserve">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w:t>
      </w:r>
      <w:r w:rsidR="004240E1">
        <w:rPr>
          <w:rFonts w:ascii="Sylfaen" w:hAnsi="Sylfaen"/>
          <w:lang w:val="ka-GE"/>
        </w:rPr>
        <w:t xml:space="preserve"> </w:t>
      </w:r>
      <w:r w:rsidR="00A81C3A" w:rsidRPr="00EA357B">
        <w:rPr>
          <w:rFonts w:ascii="Sylfaen" w:hAnsi="Sylfaen"/>
          <w:lang w:val="ka-GE"/>
        </w:rPr>
        <w:t xml:space="preserve">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ასევე</w:t>
      </w:r>
      <w:r w:rsidR="005F67F3">
        <w:rPr>
          <w:rFonts w:ascii="Sylfaen" w:hAnsi="Sylfaen"/>
          <w:lang w:val="ka-GE"/>
        </w:rPr>
        <w:t>,</w:t>
      </w:r>
      <w:r w:rsidR="00A81C3A" w:rsidRPr="00EA357B">
        <w:rPr>
          <w:rFonts w:ascii="Sylfaen" w:hAnsi="Sylfaen"/>
          <w:lang w:val="ka-GE"/>
        </w:rPr>
        <w:t xml:space="preserve"> 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65D5123B"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w:t>
      </w:r>
      <w:r w:rsidR="005F67F3">
        <w:rPr>
          <w:rFonts w:ascii="Sylfaen" w:hAnsi="Sylfaen"/>
          <w:lang w:val="ka-GE"/>
        </w:rPr>
        <w:t xml:space="preserve"> (კაპიტაციის)</w:t>
      </w:r>
      <w:r w:rsidR="00FC2E5A" w:rsidRPr="007D6488">
        <w:rPr>
          <w:rFonts w:ascii="Sylfaen" w:hAnsi="Sylfaen"/>
          <w:lang w:val="ka-GE"/>
        </w:rPr>
        <w:t xml:space="preserve">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 xml:space="preserve">ს </w:t>
      </w:r>
      <w:r w:rsidR="0012102C">
        <w:rPr>
          <w:rFonts w:ascii="Sylfaen" w:hAnsi="Sylfaen"/>
          <w:lang w:val="ka-GE"/>
        </w:rPr>
        <w:lastRenderedPageBreak/>
        <w:t>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5F67F3">
        <w:rPr>
          <w:rFonts w:ascii="Sylfaen" w:hAnsi="Sylfaen"/>
          <w:lang w:val="ka-GE"/>
        </w:rPr>
        <w:t>,</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124B19E0"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9F4D7A">
        <w:rPr>
          <w:rFonts w:ascii="Sylfaen" w:hAnsi="Sylfaen"/>
          <w:lang w:val="ka-GE"/>
        </w:rPr>
        <w:t xml:space="preserve">თავად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3C32D2">
        <w:rPr>
          <w:rFonts w:ascii="Sylfaen" w:hAnsi="Sylfaen"/>
          <w:lang w:val="ka-GE"/>
        </w:rPr>
        <w:t>.</w:t>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24C58BF6"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w:t>
      </w:r>
      <w:r w:rsidR="003C32D2">
        <w:rPr>
          <w:rFonts w:ascii="Sylfaen" w:hAnsi="Sylfaen"/>
          <w:lang w:val="ka-GE"/>
        </w:rPr>
        <w:t>0</w:t>
      </w:r>
      <w:r w:rsidR="00E4546E" w:rsidRPr="007D6488">
        <w:rPr>
          <w:rFonts w:ascii="Sylfaen" w:hAnsi="Sylfaen"/>
          <w:lang w:val="ka-GE"/>
        </w:rPr>
        <w:t xml:space="preserve">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lastRenderedPageBreak/>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3B7F1E0B" w:rsidR="000A239E"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33000A">
        <w:rPr>
          <w:rFonts w:ascii="Sylfaen" w:hAnsi="Sylfaen"/>
          <w:lang w:val="ka-GE"/>
        </w:rPr>
        <w:t xml:space="preserve">სსიპ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00350318">
        <w:rPr>
          <w:rFonts w:ascii="Sylfaen" w:hAnsi="Sylfaen"/>
          <w:lang w:val="ka-GE"/>
        </w:rPr>
        <w:t xml:space="preserve"> (შემდგომში- რეგულირების სააგენტო) </w:t>
      </w:r>
      <w:r w:rsidRPr="007D6488">
        <w:rPr>
          <w:rFonts w:ascii="Sylfaen" w:hAnsi="Sylfaen"/>
          <w:lang w:val="ka-GE"/>
        </w:rPr>
        <w:t xml:space="preserve">ახორციელებს სახელმწიფო პროგრამების მიმწოდებელ დაწესებულებაში </w:t>
      </w:r>
      <w:r w:rsidR="00F668D2" w:rsidRPr="007D6488">
        <w:rPr>
          <w:rFonts w:ascii="Sylfaen" w:hAnsi="Sylfaen"/>
          <w:lang w:val="ka-GE"/>
        </w:rPr>
        <w:t>სახელმწიფო პროგრამებ</w:t>
      </w:r>
      <w:r w:rsidR="00F668D2">
        <w:rPr>
          <w:rFonts w:ascii="Sylfaen" w:hAnsi="Sylfaen"/>
          <w:lang w:val="ka-GE"/>
        </w:rPr>
        <w:t>ი</w:t>
      </w:r>
      <w:r w:rsidR="00F668D2" w:rsidRPr="007D6488">
        <w:rPr>
          <w:rFonts w:ascii="Sylfaen" w:hAnsi="Sylfaen"/>
          <w:lang w:val="ka-GE"/>
        </w:rPr>
        <w:t xml:space="preserve">თ განსაზღვრული პირობების შესრულების </w:t>
      </w:r>
      <w:r w:rsidR="00F668D2">
        <w:rPr>
          <w:rFonts w:ascii="Sylfaen" w:hAnsi="Sylfaen"/>
          <w:lang w:val="ka-GE"/>
        </w:rPr>
        <w:t xml:space="preserve">რევიზიას, </w:t>
      </w:r>
      <w:r w:rsidRPr="007D6488">
        <w:rPr>
          <w:rFonts w:ascii="Sylfaen" w:hAnsi="Sylfaen"/>
          <w:lang w:val="ka-GE"/>
        </w:rPr>
        <w:t>პროგრამული შემთხვევის სამედიცინო დოკუმენტაციის შემოწმებ</w:t>
      </w:r>
      <w:r w:rsidR="00F668D2">
        <w:rPr>
          <w:rFonts w:ascii="Sylfaen" w:hAnsi="Sylfaen"/>
          <w:lang w:val="ka-GE"/>
        </w:rPr>
        <w:t>ი</w:t>
      </w:r>
      <w:r w:rsidRPr="007D6488">
        <w:rPr>
          <w:rFonts w:ascii="Sylfaen" w:hAnsi="Sylfaen"/>
          <w:lang w:val="ka-GE"/>
        </w:rPr>
        <w:t xml:space="preserve">ს </w:t>
      </w:r>
      <w:r w:rsidR="00F668D2">
        <w:rPr>
          <w:rFonts w:ascii="Sylfaen" w:hAnsi="Sylfaen"/>
          <w:lang w:val="ka-GE"/>
        </w:rPr>
        <w:t xml:space="preserve">საფუძველზე, </w:t>
      </w:r>
      <w:r w:rsidRPr="007D6488">
        <w:rPr>
          <w:rFonts w:ascii="Sylfaen" w:hAnsi="Sylfaen"/>
          <w:lang w:val="ka-GE"/>
        </w:rPr>
        <w:t>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w:t>
      </w:r>
      <w:r w:rsidR="00F668D2">
        <w:rPr>
          <w:rFonts w:ascii="Sylfaen" w:hAnsi="Sylfaen"/>
          <w:lang w:val="ka-GE"/>
        </w:rPr>
        <w:t>ამ პროცესში იგი უფლებამოსილია</w:t>
      </w:r>
      <w:r w:rsidR="00F668D2" w:rsidRPr="007D6488">
        <w:rPr>
          <w:rFonts w:ascii="Sylfaen" w:hAnsi="Sylfaen"/>
          <w:lang w:val="ka-GE"/>
        </w:rPr>
        <w:t xml:space="preserve"> გამოიყენოს საჯარიმო სანქციები.</w:t>
      </w:r>
      <w:r w:rsidR="00F668D2">
        <w:rPr>
          <w:rFonts w:ascii="Sylfaen" w:hAnsi="Sylfaen"/>
          <w:lang w:val="ka-GE"/>
        </w:rPr>
        <w:t xml:space="preserve"> </w:t>
      </w:r>
      <w:r w:rsidR="00C67BE3" w:rsidRPr="007D6488">
        <w:rPr>
          <w:rFonts w:ascii="Sylfaen" w:hAnsi="Sylfaen"/>
          <w:lang w:val="ka-GE"/>
        </w:rPr>
        <w:t xml:space="preserve">საჭიროების შემთხვევაში, </w:t>
      </w:r>
      <w:r w:rsidR="000210B9">
        <w:rPr>
          <w:rFonts w:ascii="Sylfaen" w:hAnsi="Sylfaen"/>
          <w:lang w:val="ka-GE"/>
        </w:rPr>
        <w:t xml:space="preserve">სსიპ „სამედიცინო საქმიანობის სახელმწიფო რეგულირების </w:t>
      </w:r>
      <w:r w:rsidR="00C67BE3" w:rsidRPr="007D6488">
        <w:rPr>
          <w:rFonts w:ascii="Sylfaen" w:hAnsi="Sylfaen"/>
          <w:lang w:val="ka-GE"/>
        </w:rPr>
        <w:t>სააგენტოს</w:t>
      </w:r>
      <w:r w:rsidR="000210B9">
        <w:rPr>
          <w:rFonts w:ascii="Sylfaen" w:hAnsi="Sylfaen"/>
          <w:lang w:val="ka-GE"/>
        </w:rPr>
        <w:t>“</w:t>
      </w:r>
      <w:r w:rsidR="00C67BE3" w:rsidRPr="007D6488">
        <w:rPr>
          <w:rFonts w:ascii="Sylfaen" w:hAnsi="Sylfaen"/>
          <w:lang w:val="ka-GE"/>
        </w:rPr>
        <w:t xml:space="preserve">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გამოწვევად რჩება მომსახურების ხარისხის მონიტო</w:t>
      </w:r>
      <w:r w:rsidR="0033000A">
        <w:rPr>
          <w:rFonts w:ascii="Sylfaen" w:hAnsi="Sylfaen"/>
          <w:lang w:val="ka-GE"/>
        </w:rPr>
        <w:t>რი</w:t>
      </w:r>
      <w:r w:rsidR="00C67BE3" w:rsidRPr="007D6488">
        <w:rPr>
          <w:rFonts w:ascii="Sylfaen" w:hAnsi="Sylfaen"/>
          <w:lang w:val="ka-GE"/>
        </w:rPr>
        <w:t>ნგისთვის საჭირო ინდიკატორების და ხარისხის კონტროლის სხვა ინსტრუმენტების ფართო გამოყენება. ასევე</w:t>
      </w:r>
      <w:r w:rsidR="00F668D2">
        <w:rPr>
          <w:rFonts w:ascii="Sylfaen" w:hAnsi="Sylfaen"/>
          <w:lang w:val="ka-GE"/>
        </w:rPr>
        <w:t>,</w:t>
      </w:r>
      <w:r w:rsidR="00C67BE3" w:rsidRPr="007D6488">
        <w:rPr>
          <w:rFonts w:ascii="Sylfaen" w:hAnsi="Sylfaen"/>
          <w:lang w:val="ka-GE"/>
        </w:rPr>
        <w:t xml:space="preserve"> დასანერგია წარმატებით შესრულებული მომსახურების ფინანსური წახალისების მექანიზმები.</w:t>
      </w:r>
    </w:p>
    <w:p w14:paraId="57DE322E" w14:textId="77777777" w:rsidR="000210B9" w:rsidRPr="007D6488" w:rsidRDefault="000210B9" w:rsidP="00F72964">
      <w:pPr>
        <w:spacing w:line="276" w:lineRule="auto"/>
        <w:jc w:val="both"/>
        <w:rPr>
          <w:rFonts w:ascii="Sylfaen" w:hAnsi="Sylfaen"/>
          <w:lang w:val="ka-GE"/>
        </w:rPr>
      </w:pPr>
    </w:p>
    <w:p w14:paraId="1031BBBD" w14:textId="535DFDCB" w:rsidR="00C743CF" w:rsidRDefault="000210B9" w:rsidP="00BC458D">
      <w:pPr>
        <w:spacing w:line="276" w:lineRule="auto"/>
        <w:jc w:val="both"/>
        <w:rPr>
          <w:rFonts w:ascii="Sylfaen" w:hAnsi="Sylfaen"/>
          <w:lang w:val="ka-GE"/>
        </w:rPr>
      </w:pPr>
      <w:r>
        <w:rPr>
          <w:rFonts w:ascii="Sylfaen" w:hAnsi="Sylfaen"/>
          <w:lang w:val="ka-GE"/>
        </w:rPr>
        <w:t xml:space="preserve">სსიპ „სამედიცინო საქმიანობის სახელმწიფო რეგულირების </w:t>
      </w:r>
      <w:r w:rsidRPr="007D6488">
        <w:rPr>
          <w:rFonts w:ascii="Sylfaen" w:hAnsi="Sylfaen"/>
          <w:lang w:val="ka-GE"/>
        </w:rPr>
        <w:t>სააგენტოს</w:t>
      </w:r>
      <w:r>
        <w:rPr>
          <w:rFonts w:ascii="Sylfaen" w:hAnsi="Sylfaen"/>
          <w:lang w:val="ka-GE"/>
        </w:rPr>
        <w:t xml:space="preserve">“ </w:t>
      </w:r>
      <w:r w:rsidR="003E399D" w:rsidRPr="007D6488">
        <w:rPr>
          <w:rFonts w:ascii="Sylfaen" w:hAnsi="Sylfaen"/>
          <w:lang w:val="ka-GE"/>
        </w:rPr>
        <w:t>მოვალეობაა განახორციელოს სახელმწიფო პროგრამებ</w:t>
      </w:r>
      <w:r w:rsidR="00702F69">
        <w:rPr>
          <w:rFonts w:ascii="Sylfaen" w:hAnsi="Sylfaen"/>
          <w:lang w:val="ka-GE"/>
        </w:rPr>
        <w:t>ი</w:t>
      </w:r>
      <w:r w:rsidR="003E399D"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w:t>
      </w:r>
    </w:p>
    <w:p w14:paraId="0D837ED5" w14:textId="77777777" w:rsidR="000210B9" w:rsidRDefault="000210B9" w:rsidP="00BC458D">
      <w:pPr>
        <w:spacing w:line="276" w:lineRule="auto"/>
        <w:jc w:val="both"/>
        <w:rPr>
          <w:rFonts w:ascii="Sylfaen" w:hAnsi="Sylfaen"/>
          <w:lang w:val="ka-GE"/>
        </w:rPr>
      </w:pPr>
    </w:p>
    <w:p w14:paraId="1DB56D21" w14:textId="47761004" w:rsidR="00A3676A" w:rsidRPr="007D6488" w:rsidRDefault="001B27DC" w:rsidP="00BC458D">
      <w:pPr>
        <w:spacing w:line="276" w:lineRule="auto"/>
        <w:jc w:val="both"/>
        <w:rPr>
          <w:rFonts w:ascii="Sylfaen" w:hAnsi="Sylfaen"/>
          <w:lang w:val="ka-GE"/>
        </w:rPr>
      </w:pPr>
      <w:r w:rsidRPr="007D6488">
        <w:rPr>
          <w:rFonts w:ascii="Sylfaen" w:hAnsi="Sylfaen"/>
          <w:lang w:val="ka-GE"/>
        </w:rPr>
        <w:lastRenderedPageBreak/>
        <w:t>მომსახურების ხარისხის გაუმჯობესების მიზნით</w:t>
      </w:r>
      <w:r w:rsidR="00C932FC">
        <w:rPr>
          <w:rFonts w:ascii="Sylfaen" w:hAnsi="Sylfaen"/>
          <w:lang w:val="ka-GE"/>
        </w:rPr>
        <w:t>,</w:t>
      </w:r>
      <w:r w:rsidRPr="007D6488">
        <w:rPr>
          <w:rFonts w:ascii="Sylfaen" w:hAnsi="Sylfaen"/>
          <w:lang w:val="ka-GE"/>
        </w:rPr>
        <w:t xml:space="preserve"> პერიოდულად ხდება სხვა</w:t>
      </w:r>
      <w:r w:rsidR="003C32D2">
        <w:rPr>
          <w:rFonts w:ascii="Sylfaen" w:hAnsi="Sylfaen"/>
          <w:lang w:val="ka-GE"/>
        </w:rPr>
        <w:t>დასხვა ინიციატივების შემუშავება. მაგ.</w:t>
      </w:r>
      <w:r w:rsidRPr="007D6488">
        <w:rPr>
          <w:rFonts w:ascii="Sylfaen" w:hAnsi="Sylfaen"/>
          <w:lang w:val="ka-GE"/>
        </w:rPr>
        <w:t xml:space="preserve"> 2017 წლიდან დაიწყო ინფექციის კონტროლის სისტემის </w:t>
      </w:r>
      <w:r w:rsidR="00335107">
        <w:rPr>
          <w:rFonts w:ascii="Sylfaen" w:hAnsi="Sylfaen"/>
          <w:lang w:val="ka-GE"/>
        </w:rPr>
        <w:t>სამ</w:t>
      </w:r>
      <w:r w:rsidRPr="007D6488">
        <w:rPr>
          <w:rFonts w:ascii="Sylfaen" w:hAnsi="Sylfaen"/>
          <w:lang w:val="ka-GE"/>
        </w:rPr>
        <w:t xml:space="preserve"> ეტაპიანი მონიტორინგის დანერგვა სტაციონარულ დაწესებულებებში</w:t>
      </w:r>
      <w:r w:rsidR="003C32D2">
        <w:rPr>
          <w:rFonts w:ascii="Sylfaen" w:hAnsi="Sylfaen"/>
          <w:lang w:val="ka-GE"/>
        </w:rPr>
        <w:t xml:space="preserve">, რომელიც მიმართულია არა მხოლოდ დარღვევების გამოვლენის, არამედ კონსტრუქციული უკუგების შედეგად </w:t>
      </w:r>
      <w:r w:rsidR="004E6153">
        <w:rPr>
          <w:rFonts w:ascii="Sylfaen" w:hAnsi="Sylfaen"/>
          <w:lang w:val="ka-GE"/>
        </w:rPr>
        <w:t>ინფექციის კონტროლის ღონისძიებების გააქტიურებისკენ</w:t>
      </w:r>
      <w:r w:rsidRPr="007D6488">
        <w:rPr>
          <w:rFonts w:ascii="Sylfaen" w:hAnsi="Sylfaen"/>
          <w:lang w:val="ka-GE"/>
        </w:rPr>
        <w:t>;</w:t>
      </w:r>
      <w:r w:rsidR="003C32D2">
        <w:rPr>
          <w:rFonts w:ascii="Sylfaen" w:hAnsi="Sylfaen"/>
          <w:lang w:val="ka-GE"/>
        </w:rPr>
        <w:t xml:space="preserve"> </w:t>
      </w:r>
    </w:p>
    <w:p w14:paraId="54285744" w14:textId="77777777" w:rsidR="00D75633" w:rsidRPr="007D6488" w:rsidRDefault="00D75633" w:rsidP="00BC458D">
      <w:pPr>
        <w:spacing w:line="276" w:lineRule="auto"/>
        <w:jc w:val="both"/>
        <w:rPr>
          <w:rFonts w:ascii="Sylfaen" w:hAnsi="Sylfaen"/>
          <w:lang w:val="ka-GE"/>
        </w:rPr>
      </w:pPr>
    </w:p>
    <w:p w14:paraId="3AF99D94" w14:textId="354C8079" w:rsidR="00CE01A6" w:rsidRPr="000210B9" w:rsidRDefault="00CA1D11" w:rsidP="000210B9">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ით დამტკიცებული საყოველთაო ჯან</w:t>
      </w:r>
      <w:r w:rsidR="0039377F">
        <w:rPr>
          <w:rFonts w:ascii="Sylfaen" w:hAnsi="Sylfaen"/>
          <w:lang w:val="ka-GE"/>
        </w:rPr>
        <w:t xml:space="preserve">მრთელობის </w:t>
      </w:r>
      <w:r w:rsidR="00CE01A6">
        <w:rPr>
          <w:rFonts w:ascii="Sylfaen" w:hAnsi="Sylfaen"/>
          <w:lang w:val="ka-GE"/>
        </w:rPr>
        <w:t xml:space="preserve">დაცვის </w:t>
      </w:r>
      <w:r w:rsidR="0039377F">
        <w:rPr>
          <w:rFonts w:ascii="Sylfaen" w:hAnsi="Sylfaen"/>
          <w:lang w:val="ka-GE"/>
        </w:rPr>
        <w:t xml:space="preserve">სახელმწიფო </w:t>
      </w:r>
      <w:r w:rsidR="00CE01A6">
        <w:rPr>
          <w:rFonts w:ascii="Sylfaen" w:hAnsi="Sylfaen"/>
          <w:lang w:val="ka-GE"/>
        </w:rPr>
        <w:t xml:space="preserve">პროგრამა, </w:t>
      </w:r>
      <w:r w:rsidR="00CE01A6" w:rsidRPr="000210B9">
        <w:rPr>
          <w:rFonts w:ascii="Sylfaen" w:hAnsi="Sylfaen"/>
          <w:lang w:val="ka-GE"/>
        </w:rPr>
        <w:t>ამავე პროგრამის შესრულების უზრუნველსაყოფად გამოცემული შესაბამისი სამართლებრივი და ორგანიზაციული აქტები, სააგენტოს</w:t>
      </w:r>
      <w:r w:rsidR="00335107" w:rsidRPr="000210B9">
        <w:rPr>
          <w:rFonts w:ascii="Sylfaen" w:hAnsi="Sylfaen"/>
          <w:lang w:val="ka-GE"/>
        </w:rPr>
        <w:t>ადმი სერვისის მიმწოდებლის</w:t>
      </w:r>
      <w:r w:rsidR="00CE01A6" w:rsidRPr="000210B9">
        <w:rPr>
          <w:rFonts w:ascii="Sylfaen" w:hAnsi="Sylfaen"/>
          <w:lang w:val="ka-GE"/>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r w:rsidR="00335107" w:rsidRPr="000210B9">
        <w:rPr>
          <w:rFonts w:ascii="Sylfaen" w:hAnsi="Sylfaen"/>
          <w:lang w:val="ka-GE"/>
        </w:rPr>
        <w:t>სამედიცინო მომსახურების მიმწოდებელს</w:t>
      </w:r>
      <w:r w:rsidR="00CE01A6" w:rsidRPr="000210B9">
        <w:rPr>
          <w:rFonts w:ascii="Sylfaen" w:hAnsi="Sylfaen"/>
          <w:lang w:val="ka-GE"/>
        </w:rPr>
        <w:t xml:space="preserve"> შორის. </w:t>
      </w:r>
    </w:p>
    <w:p w14:paraId="2AA8A219" w14:textId="191EBB03" w:rsidR="00737DB6" w:rsidRPr="007D6488" w:rsidRDefault="00737DB6" w:rsidP="00BC458D">
      <w:pPr>
        <w:spacing w:line="276" w:lineRule="auto"/>
        <w:jc w:val="both"/>
        <w:rPr>
          <w:rFonts w:ascii="Sylfaen" w:hAnsi="Sylfaen"/>
          <w:lang w:val="ka-GE"/>
        </w:rPr>
      </w:pPr>
    </w:p>
    <w:p w14:paraId="33623665" w14:textId="16A51F58"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w:t>
      </w:r>
      <w:r w:rsidR="008F223A">
        <w:rPr>
          <w:rFonts w:ascii="Sylfaen" w:hAnsi="Sylfaen"/>
          <w:lang w:val="ka-GE"/>
        </w:rPr>
        <w:t>/ექთნებს</w:t>
      </w:r>
      <w:r w:rsidR="00851C8C" w:rsidRPr="007D6488">
        <w:rPr>
          <w:rFonts w:ascii="Sylfaen" w:hAnsi="Sylfaen"/>
          <w:lang w:val="ka-GE"/>
        </w:rPr>
        <w:t xml:space="preserve">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0210B9">
        <w:rPr>
          <w:rFonts w:ascii="Sylfaen" w:hAnsi="Sylfaen"/>
          <w:lang w:val="ka-GE"/>
        </w:rPr>
        <w:t xml:space="preserve"> ამასთან, სპეცდაფინანსებაზე მყოფ</w:t>
      </w:r>
      <w:r w:rsidR="008F223A" w:rsidRPr="000210B9">
        <w:rPr>
          <w:rFonts w:ascii="Sylfaen" w:hAnsi="Sylfaen"/>
          <w:lang w:val="ka-GE"/>
        </w:rPr>
        <w:t>ი</w:t>
      </w:r>
      <w:r w:rsidR="00851C8C" w:rsidRPr="000210B9">
        <w:rPr>
          <w:rFonts w:ascii="Sylfaen" w:hAnsi="Sylfaen"/>
          <w:lang w:val="ka-GE"/>
        </w:rPr>
        <w:t xml:space="preserve"> სამედიცინო დაწესებულებებ</w:t>
      </w:r>
      <w:r w:rsidR="000D372E" w:rsidRPr="000210B9">
        <w:rPr>
          <w:rFonts w:ascii="Sylfaen" w:hAnsi="Sylfaen"/>
          <w:lang w:val="ka-GE"/>
        </w:rPr>
        <w:t>ი</w:t>
      </w:r>
      <w:r w:rsidR="00851C8C" w:rsidRPr="000210B9">
        <w:rPr>
          <w:rFonts w:ascii="Sylfaen" w:hAnsi="Sylfaen"/>
          <w:lang w:val="ka-GE"/>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w:t>
      </w:r>
      <w:r w:rsidR="008F223A">
        <w:rPr>
          <w:rFonts w:ascii="Sylfaen" w:hAnsi="Sylfaen"/>
          <w:lang w:val="ka-GE"/>
        </w:rPr>
        <w:t>მცირე ზომის</w:t>
      </w:r>
      <w:r w:rsidR="00DA431A" w:rsidRPr="007D6488">
        <w:rPr>
          <w:rFonts w:ascii="Sylfaen" w:hAnsi="Sylfaen"/>
          <w:lang w:val="ka-GE"/>
        </w:rPr>
        <w:t xml:space="preserve">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717ECA17"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CF11D4">
        <w:rPr>
          <w:rFonts w:ascii="Sylfaen" w:hAnsi="Sylfaen"/>
          <w:lang w:val="ka-GE"/>
        </w:rPr>
        <w:t xml:space="preserve">ამ ეტაპზე </w:t>
      </w:r>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3B8B9F6D" w14:textId="36950C46" w:rsidR="00FF1D00" w:rsidRDefault="00BD1A00" w:rsidP="00BC458D">
      <w:pPr>
        <w:spacing w:line="276" w:lineRule="auto"/>
        <w:jc w:val="both"/>
        <w:rPr>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ანაზღაურება</w:t>
      </w:r>
      <w:r w:rsidR="00CF11D4">
        <w:rPr>
          <w:rFonts w:ascii="Sylfaen" w:hAnsi="Sylfaen"/>
          <w:lang w:val="ka-GE"/>
        </w:rPr>
        <w:t>,</w:t>
      </w:r>
      <w:r w:rsidR="00826E34" w:rsidRPr="007D6488">
        <w:rPr>
          <w:rFonts w:ascii="Sylfaen" w:hAnsi="Sylfaen"/>
          <w:lang w:val="ka-GE"/>
        </w:rPr>
        <w:t xml:space="preserve"> </w:t>
      </w:r>
      <w:r w:rsidR="006B3A5E" w:rsidRPr="007D6488">
        <w:rPr>
          <w:rFonts w:ascii="Sylfaen" w:hAnsi="Sylfaen"/>
          <w:lang w:val="ka-GE"/>
        </w:rPr>
        <w:t>ძირითადად</w:t>
      </w:r>
      <w:r w:rsidR="00CF11D4">
        <w:rPr>
          <w:rFonts w:ascii="Sylfaen" w:hAnsi="Sylfaen"/>
          <w:lang w:val="ka-GE"/>
        </w:rPr>
        <w:t>,</w:t>
      </w:r>
      <w:r w:rsidR="006B3A5E" w:rsidRPr="007D6488">
        <w:rPr>
          <w:rFonts w:ascii="Sylfaen" w:hAnsi="Sylfaen"/>
          <w:lang w:val="ka-GE"/>
        </w:rPr>
        <w:t xml:space="preserve">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00CF11D4">
        <w:rPr>
          <w:rFonts w:ascii="Sylfaen" w:hAnsi="Sylfaen"/>
          <w:lang w:val="ka-GE"/>
        </w:rPr>
        <w:t>ადმინისტრირების</w:t>
      </w:r>
      <w:r w:rsidR="00826E34" w:rsidRPr="007D6488">
        <w:rPr>
          <w:rFonts w:ascii="Sylfaen" w:hAnsi="Sylfaen"/>
          <w:lang w:val="ka-GE"/>
        </w:rPr>
        <w:t xml:space="preserve">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არ უნდა აღემატებოდეს </w:t>
      </w:r>
      <w:r w:rsidR="00FF1D00">
        <w:rPr>
          <w:rFonts w:ascii="Sylfaen" w:hAnsi="Sylfaen"/>
          <w:lang w:val="ka-GE"/>
        </w:rPr>
        <w:t xml:space="preserve">2009-2012 წლებში ჯანმრთელობის </w:t>
      </w:r>
      <w:r w:rsidR="00FF1D00">
        <w:rPr>
          <w:rFonts w:ascii="Sylfaen" w:hAnsi="Sylfaen"/>
          <w:lang w:val="ka-GE"/>
        </w:rPr>
        <w:lastRenderedPageBreak/>
        <w:t>სახელმწიფო დაზღვევის 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w:t>
      </w:r>
      <w:r w:rsidR="00FF1D00">
        <w:rPr>
          <w:rFonts w:ascii="Sylfaen" w:hAnsi="Sylfaen"/>
          <w:lang w:val="ka-GE"/>
        </w:rPr>
        <w:t>იმუმ 10</w:t>
      </w:r>
      <w:r w:rsidR="00CF11D4">
        <w:rPr>
          <w:rFonts w:ascii="Sylfaen" w:hAnsi="Sylfaen"/>
          <w:lang w:val="ka-GE"/>
        </w:rPr>
        <w:t>%</w:t>
      </w:r>
      <w:r w:rsidR="00FF1D00">
        <w:rPr>
          <w:rFonts w:ascii="Sylfaen" w:hAnsi="Sylfaen"/>
          <w:lang w:val="ka-GE"/>
        </w:rPr>
        <w:t xml:space="preserve"> </w:t>
      </w:r>
      <w:r w:rsidR="00CF11D4">
        <w:rPr>
          <w:rFonts w:ascii="Sylfaen" w:hAnsi="Sylfaen"/>
          <w:lang w:val="ka-GE"/>
        </w:rPr>
        <w:t>(</w:t>
      </w:r>
      <w:r w:rsidR="00FF1D00">
        <w:rPr>
          <w:rFonts w:ascii="Sylfaen" w:hAnsi="Sylfaen"/>
          <w:lang w:val="ka-GE"/>
        </w:rPr>
        <w:t>პროცენტიანი</w:t>
      </w:r>
      <w:r w:rsidR="00CF11D4">
        <w:rPr>
          <w:rFonts w:ascii="Sylfaen" w:hAnsi="Sylfaen"/>
          <w:lang w:val="ka-GE"/>
        </w:rPr>
        <w:t>)</w:t>
      </w:r>
      <w:r w:rsidR="00FF1D00">
        <w:rPr>
          <w:rFonts w:ascii="Sylfaen" w:hAnsi="Sylfaen"/>
          <w:lang w:val="ka-GE"/>
        </w:rPr>
        <w:t xml:space="preserve">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0F04B6B8" w14:textId="77777777" w:rsidR="00F407D5" w:rsidRDefault="00F407D5" w:rsidP="00BC458D">
      <w:pPr>
        <w:spacing w:line="276" w:lineRule="auto"/>
        <w:jc w:val="both"/>
        <w:rPr>
          <w:rFonts w:ascii="Sylfaen" w:hAnsi="Sylfaen"/>
          <w:lang w:val="ka-GE"/>
        </w:rPr>
      </w:pPr>
    </w:p>
    <w:p w14:paraId="0EF74327" w14:textId="640EB703" w:rsidR="00B03887" w:rsidRPr="00B03887" w:rsidRDefault="00C71040" w:rsidP="000210B9">
      <w:pPr>
        <w:spacing w:line="276" w:lineRule="auto"/>
        <w:jc w:val="both"/>
        <w:rPr>
          <w:rFonts w:ascii="Sylfaen" w:hAnsi="Sylfaen"/>
          <w:lang w:val="ka-GE"/>
        </w:rPr>
      </w:pPr>
      <w:r w:rsidRPr="007D6488">
        <w:rPr>
          <w:rFonts w:ascii="Sylfaen" w:hAnsi="Sylfaen"/>
          <w:lang w:val="ka-GE"/>
        </w:rPr>
        <w:t>გადაუდებელი დახმარების ორი კატეგორი</w:t>
      </w:r>
      <w:r w:rsidR="00CF11D4">
        <w:rPr>
          <w:rFonts w:ascii="Sylfaen" w:hAnsi="Sylfaen"/>
          <w:lang w:val="ka-GE"/>
        </w:rPr>
        <w:t>ისათვის</w:t>
      </w:r>
      <w:r w:rsidRPr="007D6488">
        <w:rPr>
          <w:rFonts w:ascii="Sylfaen" w:hAnsi="Sylfaen"/>
          <w:lang w:val="ka-GE"/>
        </w:rPr>
        <w:t xml:space="preserve"> - კრიტიკული და ინტენსიური დახმარება</w:t>
      </w:r>
      <w:r w:rsidR="00CF11D4">
        <w:rPr>
          <w:rFonts w:ascii="Sylfaen" w:hAnsi="Sylfaen"/>
          <w:lang w:val="ka-GE"/>
        </w:rPr>
        <w:t xml:space="preserve"> -</w:t>
      </w:r>
      <w:r w:rsidRPr="007D6488">
        <w:rPr>
          <w:rFonts w:ascii="Sylfaen" w:hAnsi="Sylfaen"/>
          <w:lang w:val="ka-GE"/>
        </w:rPr>
        <w:t xml:space="preserve"> ტარიფის გამოთვლა  </w:t>
      </w:r>
      <w:r w:rsidR="000210B9">
        <w:rPr>
          <w:rFonts w:ascii="Sylfaen" w:hAnsi="Sylfaen"/>
          <w:lang w:val="ka-GE"/>
        </w:rPr>
        <w:t>შემდეგნაირად</w:t>
      </w:r>
      <w:r w:rsidRPr="007D6488">
        <w:rPr>
          <w:rFonts w:ascii="Sylfaen" w:hAnsi="Sylfaen"/>
          <w:lang w:val="ka-GE"/>
        </w:rPr>
        <w:t xml:space="preserve"> </w:t>
      </w:r>
      <w:r w:rsidR="000210B9">
        <w:rPr>
          <w:rFonts w:ascii="Sylfaen" w:hAnsi="Sylfaen"/>
          <w:lang w:val="ka-GE"/>
        </w:rPr>
        <w:t>ხდება:</w:t>
      </w:r>
      <w:r w:rsidRPr="007D6488">
        <w:rPr>
          <w:rFonts w:ascii="Sylfaen" w:hAnsi="Sylfaen"/>
          <w:lang w:val="ka-GE"/>
        </w:rPr>
        <w:t xml:space="preserve"> </w:t>
      </w:r>
      <w:r w:rsidR="00B03887">
        <w:rPr>
          <w:rFonts w:ascii="Sylfaen" w:hAnsi="Sylfaen"/>
          <w:lang w:val="ka-GE"/>
        </w:rPr>
        <w:t xml:space="preserve">კრიტიკული მდგომარეობებისა და ინტენსიური თერაპიის ღირებულებას წარმოადგენს სამედიცინო მომსახურების მიმწოდებლის მიერ წარმოდგენილი ღირებულება, მაგრამ არა უმეტეს </w:t>
      </w:r>
      <w:r w:rsidR="00C65CC5">
        <w:rPr>
          <w:rFonts w:ascii="Sylfaen" w:hAnsi="Sylfaen"/>
          <w:lang w:val="ka-GE"/>
        </w:rPr>
        <w:t xml:space="preserve">წინასწარ </w:t>
      </w:r>
      <w:r w:rsidR="00B03887">
        <w:rPr>
          <w:rFonts w:ascii="Sylfaen" w:hAnsi="Sylfaen"/>
          <w:lang w:val="ka-GE"/>
        </w:rPr>
        <w:t xml:space="preserve">განსაზღვრული ტარიფისა, </w:t>
      </w:r>
      <w:r w:rsidR="00B03887" w:rsidRPr="00597D36">
        <w:rPr>
          <w:rFonts w:ascii="Sylfaen" w:hAnsi="Sylfaen"/>
          <w:lang w:val="ka-GE"/>
        </w:rPr>
        <w:t>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w:t>
      </w:r>
      <w:r w:rsidR="00B03887">
        <w:rPr>
          <w:rFonts w:ascii="Sylfaen" w:hAnsi="Sylfaen"/>
          <w:lang w:val="ka-GE"/>
        </w:rPr>
        <w:t xml:space="preserve">. </w:t>
      </w:r>
      <w:r w:rsidR="00B03887" w:rsidRPr="00597D36">
        <w:rPr>
          <w:rFonts w:ascii="Sylfaen" w:hAnsi="Sylfaen"/>
          <w:lang w:val="ka-GE"/>
        </w:rPr>
        <w:t>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6EA1E884" w14:textId="54620A63" w:rsidR="00B03887" w:rsidRDefault="00B03887" w:rsidP="000210B9">
      <w:pPr>
        <w:spacing w:line="276" w:lineRule="auto"/>
        <w:jc w:val="both"/>
        <w:rPr>
          <w:rFonts w:ascii="Sylfaen" w:hAnsi="Sylfaen"/>
          <w:lang w:val="ka-GE"/>
        </w:rPr>
      </w:pPr>
    </w:p>
    <w:p w14:paraId="50354A4F" w14:textId="0A2B13E5" w:rsidR="00B03887" w:rsidRPr="00B03887" w:rsidRDefault="00B03887" w:rsidP="000210B9">
      <w:pPr>
        <w:spacing w:line="276" w:lineRule="auto"/>
        <w:jc w:val="both"/>
        <w:rPr>
          <w:rFonts w:ascii="Sylfaen" w:hAnsi="Sylfaen"/>
          <w:lang w:val="ka-GE"/>
        </w:rPr>
      </w:pPr>
      <w:r w:rsidRPr="00597D36">
        <w:rPr>
          <w:rFonts w:ascii="Sylfaen" w:hAnsi="Sylfaen"/>
          <w:lang w:val="ka-GE"/>
        </w:rPr>
        <w:t xml:space="preserve">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w:t>
      </w:r>
      <w:r w:rsidRPr="00B03887">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w:t>
      </w:r>
    </w:p>
    <w:p w14:paraId="31A6E334" w14:textId="6A66FF68" w:rsidR="00B03887" w:rsidRDefault="00B03887" w:rsidP="000210B9">
      <w:pPr>
        <w:spacing w:line="276" w:lineRule="auto"/>
        <w:jc w:val="both"/>
        <w:rPr>
          <w:rFonts w:ascii="Sylfaen" w:hAnsi="Sylfaen"/>
          <w:lang w:val="ka-GE"/>
        </w:rPr>
      </w:pPr>
    </w:p>
    <w:p w14:paraId="77732D16" w14:textId="0B0B2A9B" w:rsidR="00597D36" w:rsidRDefault="00B03887" w:rsidP="000210B9">
      <w:pPr>
        <w:spacing w:line="276" w:lineRule="auto"/>
        <w:jc w:val="both"/>
        <w:rPr>
          <w:rFonts w:ascii="Sylfaen" w:hAnsi="Sylfaen"/>
          <w:lang w:val="ka-GE"/>
        </w:rPr>
      </w:pPr>
      <w:r>
        <w:rPr>
          <w:rFonts w:ascii="Sylfaen" w:hAnsi="Sylfaen"/>
          <w:lang w:val="ka-GE"/>
        </w:rPr>
        <w:t xml:space="preserve">გადაუდებელი თერაპიის შემთხვევების ღირებულება </w:t>
      </w:r>
      <w:r w:rsidRPr="00597D36">
        <w:rPr>
          <w:rFonts w:ascii="Sylfaen" w:hAnsi="Sylfaen"/>
          <w:lang w:val="ka-GE"/>
        </w:rPr>
        <w:t xml:space="preserve">ანაზღაურება ხდება ფაქტიური ხარჯის მიხედვით, მაგრამ </w:t>
      </w:r>
      <w:r>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w:t>
      </w:r>
    </w:p>
    <w:p w14:paraId="40EC3588" w14:textId="77777777" w:rsidR="00597D36" w:rsidRDefault="00597D36" w:rsidP="00BC458D">
      <w:pPr>
        <w:spacing w:line="276" w:lineRule="auto"/>
        <w:jc w:val="both"/>
        <w:rPr>
          <w:rFonts w:ascii="Sylfaen" w:hAnsi="Sylfaen"/>
          <w:lang w:val="ka-GE"/>
        </w:rPr>
      </w:pPr>
    </w:p>
    <w:p w14:paraId="1C97AF35" w14:textId="543A7A3C" w:rsidR="00C67BE3" w:rsidRPr="00FF1D00" w:rsidRDefault="00C71040" w:rsidP="00BC458D">
      <w:pPr>
        <w:spacing w:line="276" w:lineRule="auto"/>
        <w:jc w:val="both"/>
        <w:rPr>
          <w:rFonts w:ascii="Sylfaen" w:hAnsi="Sylfaen"/>
          <w:lang w:val="ka-GE"/>
        </w:rPr>
      </w:pPr>
      <w:r w:rsidRPr="007D6488">
        <w:rPr>
          <w:rFonts w:ascii="Sylfaen" w:hAnsi="Sylfaen"/>
          <w:lang w:val="ka-GE"/>
        </w:rPr>
        <w:t xml:space="preserve">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Pr="007D6488">
        <w:rPr>
          <w:rFonts w:ascii="Sylfaen" w:hAnsi="Sylfaen"/>
          <w:lang w:val="ka-GE"/>
        </w:rPr>
        <w:t>ის წესებით, რაც იწვევს როგორც</w:t>
      </w:r>
      <w:r w:rsidR="00B455AB">
        <w:rPr>
          <w:rFonts w:ascii="Sylfaen" w:hAnsi="Sylfaen"/>
          <w:lang w:val="ka-GE"/>
        </w:rPr>
        <w:t xml:space="preserve"> სერვისის მიმწოდებლების</w:t>
      </w:r>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 xml:space="preserve">სსიპ </w:t>
      </w:r>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 </w:t>
      </w:r>
      <w:r w:rsidR="000210B9">
        <w:rPr>
          <w:rFonts w:ascii="Sylfaen" w:hAnsi="Sylfaen"/>
          <w:lang w:val="ka-GE"/>
        </w:rPr>
        <w:t>ადმინისტრაციული რესურსების გადატვირთვას</w:t>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67916B6E"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w:t>
      </w:r>
      <w:r w:rsidR="00B455AB">
        <w:rPr>
          <w:rFonts w:ascii="Sylfaen" w:hAnsi="Sylfaen"/>
          <w:lang w:val="ka-GE"/>
        </w:rPr>
        <w:t xml:space="preserve"> -</w:t>
      </w:r>
      <w:r w:rsidRPr="00831472">
        <w:rPr>
          <w:rFonts w:ascii="Sylfaen" w:hAnsi="Sylfaen"/>
          <w:lang w:val="ka-GE"/>
        </w:rPr>
        <w:t xml:space="preserve"> </w:t>
      </w:r>
      <w:r w:rsidR="00B455AB">
        <w:rPr>
          <w:rFonts w:ascii="Sylfaen" w:hAnsi="Sylfaen"/>
          <w:lang w:val="ka-GE"/>
        </w:rPr>
        <w:t xml:space="preserve">პერინატალურ </w:t>
      </w:r>
      <w:r w:rsidRPr="00831472">
        <w:rPr>
          <w:rFonts w:ascii="Sylfaen" w:hAnsi="Sylfaen"/>
          <w:lang w:val="ka-GE"/>
        </w:rPr>
        <w:t>დაწესებულებათა სელექტიური კონტრაქტირება დიდ ქალაქებში. დაგეგმილია სელექ</w:t>
      </w:r>
      <w:r w:rsidR="00B455AB">
        <w:rPr>
          <w:rFonts w:ascii="Sylfaen" w:hAnsi="Sylfaen"/>
          <w:lang w:val="ka-GE"/>
        </w:rPr>
        <w:t>ცი</w:t>
      </w:r>
      <w:r w:rsidRPr="00831472">
        <w:rPr>
          <w:rFonts w:ascii="Sylfaen" w:hAnsi="Sylfaen"/>
          <w:lang w:val="ka-GE"/>
        </w:rPr>
        <w:t>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5C7A4B17"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6" w:name="_Toc8112514"/>
      <w:r w:rsidRPr="007D6488">
        <w:rPr>
          <w:rFonts w:ascii="Sylfaen" w:hAnsi="Sylfaen"/>
          <w:i w:val="0"/>
          <w:sz w:val="24"/>
          <w:szCs w:val="24"/>
          <w:lang w:val="ka-GE"/>
        </w:rPr>
        <w:t>2.3</w:t>
      </w:r>
      <w:r w:rsidR="00350318">
        <w:rPr>
          <w:rFonts w:ascii="Sylfaen" w:hAnsi="Sylfaen"/>
          <w:i w:val="0"/>
          <w:sz w:val="24"/>
          <w:szCs w:val="24"/>
          <w:lang w:val="ka-GE"/>
        </w:rPr>
        <w:t>.</w:t>
      </w:r>
      <w:r w:rsidRPr="007D6488">
        <w:rPr>
          <w:rFonts w:ascii="Sylfaen" w:hAnsi="Sylfaen"/>
          <w:i w:val="0"/>
          <w:sz w:val="24"/>
          <w:szCs w:val="24"/>
          <w:lang w:val="ka-GE"/>
        </w:rPr>
        <w:t xml:space="preserve"> </w:t>
      </w:r>
      <w:r w:rsidR="002E6210">
        <w:rPr>
          <w:rFonts w:ascii="Sylfaen" w:hAnsi="Sylfaen"/>
          <w:i w:val="0"/>
          <w:sz w:val="24"/>
          <w:szCs w:val="24"/>
          <w:lang w:val="ka-GE"/>
        </w:rPr>
        <w:t xml:space="preserve">სსიპ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6"/>
    </w:p>
    <w:p w14:paraId="708A9458" w14:textId="15DEC0E8"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 xml:space="preserve">სსიპ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9C760E" w:rsidRPr="001370F7" w:rsidRDefault="009C760E"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9C760E" w:rsidRPr="001370F7" w:rsidRDefault="009C760E"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9C760E" w:rsidRPr="001370F7" w:rsidRDefault="009C760E"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9C760E" w:rsidRPr="001370F7" w:rsidRDefault="009C760E"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9C760E" w:rsidRPr="001370F7" w:rsidRDefault="009C760E"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9C760E" w:rsidRPr="001370F7" w:rsidRDefault="009C760E"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" fillcolor="#f2f2f2 [3052]" stroked="f">
                <v:path arrowok="t"/>
                <v:textbox>
                  <w:txbxContent>
                    <w:p w14:paraId="5B95FBDB" w14:textId="77777777" w:rsidR="009C760E" w:rsidRPr="001370F7" w:rsidRDefault="009C760E"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9C760E" w:rsidRPr="001370F7" w:rsidRDefault="009C760E"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9C760E" w:rsidRPr="001370F7" w:rsidRDefault="009C760E"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9C760E" w:rsidRPr="001370F7" w:rsidRDefault="009C760E"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9C760E" w:rsidRPr="001370F7" w:rsidRDefault="009C760E"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9C760E" w:rsidRPr="001370F7" w:rsidRDefault="009C760E"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6E4398A5"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სააგენტო არის 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lastRenderedPageBreak/>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w:t>
      </w:r>
      <w:r w:rsidR="0082293D">
        <w:rPr>
          <w:rFonts w:ascii="Sylfaen" w:hAnsi="Sylfaen"/>
          <w:lang w:val="ka-GE"/>
        </w:rPr>
        <w:t>,</w:t>
      </w:r>
      <w:r w:rsidRPr="007D6488">
        <w:rPr>
          <w:rFonts w:ascii="Sylfaen" w:hAnsi="Sylfaen"/>
          <w:lang w:val="ka-GE"/>
        </w:rPr>
        <w:t xml:space="preserve">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 xml:space="preserve">სსიპ </w:t>
      </w:r>
      <w:r w:rsidR="005102F9" w:rsidRPr="007D6488">
        <w:rPr>
          <w:rFonts w:ascii="Sylfaen" w:hAnsi="Sylfaen"/>
          <w:lang w:val="ka-GE"/>
        </w:rPr>
        <w:t xml:space="preserve">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7C95FB4F" w14:textId="1DC8788E"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DB0A36" w:rsidRPr="007D6488">
        <w:rPr>
          <w:rFonts w:ascii="Sylfaen" w:hAnsi="Sylfaen"/>
          <w:lang w:val="ka-GE"/>
        </w:rPr>
        <w:t>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იძულებით გადაადგილებულ პირთა და სტიქიური მოვლენების შედეგად დაზარალებულ და 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ჯანდაცვის</w:t>
      </w:r>
      <w:r w:rsidR="004E6153">
        <w:rPr>
          <w:rFonts w:ascii="Sylfaen" w:hAnsi="Sylfaen"/>
          <w:lang w:val="ka-GE"/>
        </w:rPr>
        <w:t xml:space="preserve"> </w:t>
      </w:r>
      <w:r w:rsidR="00F063D7">
        <w:rPr>
          <w:rFonts w:ascii="Sylfaen" w:hAnsi="Sylfaen"/>
          <w:lang w:val="ka-GE"/>
        </w:rPr>
        <w:t>სეგმენტიც, ასევე</w:t>
      </w:r>
      <w:r w:rsidR="00140722">
        <w:rPr>
          <w:rFonts w:ascii="Sylfaen" w:hAnsi="Sylfaen"/>
          <w:lang w:val="ka-GE"/>
        </w:rPr>
        <w:t>,</w:t>
      </w:r>
      <w:r w:rsidR="00F063D7">
        <w:rPr>
          <w:rFonts w:ascii="Sylfaen" w:hAnsi="Sylfaen"/>
          <w:lang w:val="ka-GE"/>
        </w:rPr>
        <w:t xml:space="preserve">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r w:rsidR="00856AF3" w:rsidRPr="007D6488">
        <w:rPr>
          <w:rFonts w:ascii="Sylfaen" w:hAnsi="Sylfaen"/>
          <w:lang w:val="ka-GE"/>
        </w:rPr>
        <w:t>სააგენტოში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w:t>
      </w:r>
      <w:r w:rsidR="00140722">
        <w:rPr>
          <w:rFonts w:ascii="Sylfaen" w:hAnsi="Sylfaen"/>
          <w:lang w:val="ka-GE"/>
        </w:rPr>
        <w:t xml:space="preserve">მრთელობის </w:t>
      </w:r>
      <w:r w:rsidR="00856AF3" w:rsidRPr="007D6488">
        <w:rPr>
          <w:rFonts w:ascii="Sylfaen" w:hAnsi="Sylfaen"/>
          <w:lang w:val="ka-GE"/>
        </w:rPr>
        <w:t>დაცვის</w:t>
      </w:r>
      <w:r w:rsidR="00140722">
        <w:rPr>
          <w:rFonts w:ascii="Sylfaen" w:hAnsi="Sylfaen"/>
          <w:lang w:val="ka-GE"/>
        </w:rPr>
        <w:t xml:space="preserve"> მართვის</w:t>
      </w:r>
      <w:r w:rsidR="00856AF3" w:rsidRPr="007D6488">
        <w:rPr>
          <w:rFonts w:ascii="Sylfaen" w:hAnsi="Sylfaen"/>
          <w:lang w:val="ka-GE"/>
        </w:rPr>
        <w:t xml:space="preserve">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4FAFA030"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 xml:space="preserve">სსიპ </w:t>
      </w:r>
      <w:r w:rsidR="00BE57CC" w:rsidRPr="007D6488">
        <w:rPr>
          <w:rFonts w:ascii="Sylfaen" w:hAnsi="Sylfaen"/>
          <w:lang w:val="ka-GE"/>
        </w:rPr>
        <w:t xml:space="preserve">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4F2ACF35" w14:textId="2FB0D4CF"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w:t>
      </w:r>
      <w:r w:rsidR="00140722">
        <w:rPr>
          <w:rFonts w:ascii="Sylfaen" w:hAnsi="Sylfaen"/>
          <w:lang w:val="ka-GE"/>
        </w:rPr>
        <w:t>გაზრდილი მოთხოვნების შესაბამისად, რთულდება</w:t>
      </w:r>
      <w:r w:rsidR="00360033" w:rsidRPr="007D6488">
        <w:rPr>
          <w:rFonts w:ascii="Sylfaen" w:hAnsi="Sylfaen"/>
          <w:lang w:val="ka-GE"/>
        </w:rPr>
        <w:t xml:space="preserve"> </w:t>
      </w:r>
      <w:r>
        <w:rPr>
          <w:rFonts w:ascii="Sylfaen" w:hAnsi="Sylfaen"/>
          <w:lang w:val="ka-GE"/>
        </w:rPr>
        <w:t xml:space="preserve">მენეჯმენტის საჭიროებისთვის </w:t>
      </w:r>
      <w:r>
        <w:rPr>
          <w:rFonts w:ascii="Sylfaen" w:hAnsi="Sylfaen"/>
          <w:lang w:val="ka-GE"/>
        </w:rPr>
        <w:lastRenderedPageBreak/>
        <w:t xml:space="preserve">არასტანდარტიზებული ანალიტიკური ინფორმაციის შემჭიდროვებულ ვადებში მიწოდება. </w:t>
      </w:r>
    </w:p>
    <w:p w14:paraId="6270334D" w14:textId="77777777" w:rsidR="000210B9" w:rsidRDefault="000210B9" w:rsidP="00BC458D">
      <w:pPr>
        <w:spacing w:line="276" w:lineRule="auto"/>
        <w:jc w:val="both"/>
        <w:rPr>
          <w:rFonts w:ascii="Sylfaen" w:hAnsi="Sylfaen"/>
          <w:lang w:val="ka-GE"/>
        </w:rPr>
      </w:pPr>
    </w:p>
    <w:p w14:paraId="361BFB0E" w14:textId="3FBAF0C0" w:rsidR="00BE57CC" w:rsidRPr="007D6488" w:rsidRDefault="00BE57CC" w:rsidP="00BC458D">
      <w:pPr>
        <w:spacing w:line="276" w:lineRule="auto"/>
        <w:jc w:val="both"/>
        <w:rPr>
          <w:rFonts w:ascii="Sylfaen" w:hAnsi="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რეგიონუ</w:t>
      </w:r>
      <w:r w:rsidR="00140722">
        <w:rPr>
          <w:rFonts w:ascii="Sylfaen" w:hAnsi="Sylfaen"/>
          <w:lang w:val="ka-GE"/>
        </w:rPr>
        <w:t>ლ</w:t>
      </w:r>
      <w:r w:rsidR="00360033" w:rsidRPr="007D6488">
        <w:rPr>
          <w:rFonts w:ascii="Sylfaen" w:hAnsi="Sylfaen"/>
          <w:lang w:val="ka-GE"/>
        </w:rPr>
        <w:t xml:space="preserve">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056CF335" w14:textId="77777777" w:rsidR="000210B9" w:rsidRDefault="000210B9" w:rsidP="00BC458D">
      <w:pPr>
        <w:spacing w:line="276" w:lineRule="auto"/>
        <w:jc w:val="both"/>
        <w:rPr>
          <w:rFonts w:ascii="Sylfaen" w:hAnsi="Sylfaen"/>
          <w:b/>
          <w:bCs/>
          <w:i/>
          <w:lang w:val="ka-GE"/>
        </w:rPr>
      </w:pPr>
    </w:p>
    <w:p w14:paraId="6A7B2B54" w14:textId="5E8142AA"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მხოლოდ</w:t>
      </w:r>
      <w:r w:rsidR="009F3D4C">
        <w:rPr>
          <w:rFonts w:ascii="Sylfaen" w:hAnsi="Sylfaen"/>
          <w:lang w:val="ka-GE"/>
        </w:rPr>
        <w:t>,</w:t>
      </w:r>
      <w:r w:rsidR="008D38DF" w:rsidRPr="007D6488">
        <w:rPr>
          <w:rFonts w:ascii="Sylfaen" w:hAnsi="Sylfaen"/>
          <w:lang w:val="ka-GE"/>
        </w:rPr>
        <w:t xml:space="preserve"> </w:t>
      </w:r>
      <w:r w:rsidR="00707E3E" w:rsidRPr="007D6488">
        <w:rPr>
          <w:rFonts w:ascii="Sylfaen" w:hAnsi="Sylfaen"/>
          <w:lang w:val="ka-GE"/>
        </w:rPr>
        <w:t>ძირითადად</w:t>
      </w:r>
      <w:r w:rsidR="009F3D4C">
        <w:rPr>
          <w:rFonts w:ascii="Sylfaen" w:hAnsi="Sylfaen"/>
          <w:lang w:val="ka-GE"/>
        </w:rPr>
        <w:t>,</w:t>
      </w:r>
      <w:r w:rsidR="00707E3E" w:rsidRPr="007D6488">
        <w:rPr>
          <w:rFonts w:ascii="Sylfaen" w:hAnsi="Sylfaen"/>
          <w:lang w:val="ka-GE"/>
        </w:rPr>
        <w:t xml:space="preserve">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044579DC" w:rsidR="006663FF" w:rsidRPr="007D6488" w:rsidRDefault="006663FF" w:rsidP="00BC458D">
      <w:pPr>
        <w:spacing w:line="276" w:lineRule="auto"/>
        <w:jc w:val="both"/>
        <w:rPr>
          <w:rFonts w:ascii="Sylfaen" w:hAnsi="Sylfaen"/>
          <w:lang w:val="ka-GE"/>
        </w:rPr>
      </w:pPr>
      <w:r w:rsidRPr="007D6488">
        <w:rPr>
          <w:rFonts w:ascii="Sylfaen" w:hAnsi="Sylfaen"/>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w:t>
      </w:r>
      <w:r w:rsidR="00666955">
        <w:rPr>
          <w:rFonts w:ascii="Sylfaen" w:hAnsi="Sylfaen"/>
          <w:lang w:val="ka-GE"/>
        </w:rPr>
        <w:t>,</w:t>
      </w:r>
      <w:r w:rsidRPr="007D6488">
        <w:rPr>
          <w:rFonts w:ascii="Sylfaen" w:hAnsi="Sylfaen"/>
          <w:lang w:val="ka-GE"/>
        </w:rPr>
        <w:t xml:space="preserve">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39A85D61" w:rsidR="002966C3" w:rsidRPr="007D6488" w:rsidRDefault="006663FF" w:rsidP="00BC458D">
      <w:pPr>
        <w:spacing w:line="276" w:lineRule="auto"/>
        <w:jc w:val="both"/>
        <w:rPr>
          <w:rFonts w:ascii="Sylfaen" w:hAnsi="Sylfaen"/>
          <w:lang w:val="ka-GE"/>
        </w:rPr>
      </w:pPr>
      <w:r w:rsidRPr="007D6488">
        <w:rPr>
          <w:rFonts w:ascii="Sylfaen" w:hAnsi="Sylfaen"/>
          <w:lang w:val="ka-GE"/>
        </w:rPr>
        <w:t xml:space="preserve">სააგენტოში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ცესებისა და ხარისხის მართვის სისტემა</w:t>
      </w:r>
      <w:r w:rsidR="00D256D3">
        <w:rPr>
          <w:rFonts w:ascii="Sylfaen" w:hAnsi="Sylfaen"/>
          <w:lang w:val="ka-GE"/>
        </w:rPr>
        <w:t>,</w:t>
      </w:r>
      <w:r w:rsidR="002966C3" w:rsidRPr="007D6488">
        <w:rPr>
          <w:rFonts w:ascii="Sylfaen" w:hAnsi="Sylfaen"/>
          <w:lang w:val="ka-GE"/>
        </w:rPr>
        <w:t xml:space="preserve"> ძირითადად</w:t>
      </w:r>
      <w:r w:rsidR="00D256D3">
        <w:rPr>
          <w:rFonts w:ascii="Sylfaen" w:hAnsi="Sylfaen"/>
          <w:lang w:val="ka-GE"/>
        </w:rPr>
        <w:t>,</w:t>
      </w:r>
      <w:r w:rsidR="002966C3" w:rsidRPr="007D6488">
        <w:rPr>
          <w:rFonts w:ascii="Sylfaen" w:hAnsi="Sylfaen"/>
          <w:lang w:val="ka-GE"/>
        </w:rPr>
        <w:t xml:space="preserve">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w:t>
      </w:r>
      <w:r w:rsidR="009F3D4C">
        <w:rPr>
          <w:rFonts w:ascii="Sylfaen" w:hAnsi="Sylfaen"/>
          <w:lang w:val="ka-GE"/>
        </w:rPr>
        <w:t>,</w:t>
      </w:r>
      <w:r w:rsidR="00FA037D" w:rsidRPr="007D6488">
        <w:rPr>
          <w:rFonts w:ascii="Sylfaen" w:hAnsi="Sylfaen"/>
          <w:lang w:val="ka-GE"/>
        </w:rPr>
        <w:t xml:space="preserve">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C27EC57"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სააგენტოს ყველაზე დიდი გამოწვევა</w:t>
      </w:r>
      <w:r w:rsidR="00D256D3">
        <w:rPr>
          <w:rFonts w:ascii="Sylfaen" w:hAnsi="Sylfaen"/>
          <w:lang w:val="ka-GE"/>
        </w:rPr>
        <w:t>,</w:t>
      </w:r>
      <w:r w:rsidR="000A71BB" w:rsidRPr="007D6488">
        <w:rPr>
          <w:rFonts w:ascii="Sylfaen" w:hAnsi="Sylfaen"/>
          <w:lang w:val="ka-GE"/>
        </w:rPr>
        <w:t xml:space="preserve"> ადამიანური რესურსების მიმართულებით</w:t>
      </w:r>
      <w:r w:rsidR="00D256D3">
        <w:rPr>
          <w:rFonts w:ascii="Sylfaen" w:hAnsi="Sylfaen"/>
          <w:lang w:val="ka-GE"/>
        </w:rPr>
        <w:t>,</w:t>
      </w:r>
      <w:r w:rsidR="000A71BB" w:rsidRPr="007D6488">
        <w:rPr>
          <w:rFonts w:ascii="Sylfaen" w:hAnsi="Sylfaen"/>
          <w:lang w:val="ka-GE"/>
        </w:rPr>
        <w:t xml:space="preserve"> არის პერსონალის დიდი  ბრუნვა.</w:t>
      </w:r>
      <w:r w:rsidR="00062CC5">
        <w:rPr>
          <w:rFonts w:ascii="Sylfaen" w:hAnsi="Sylfaen"/>
          <w:lang w:val="ka-GE"/>
        </w:rPr>
        <w:t xml:space="preserve"> ზოგადად</w:t>
      </w:r>
      <w:r w:rsidR="00D256D3">
        <w:rPr>
          <w:rFonts w:ascii="Sylfaen" w:hAnsi="Sylfaen"/>
          <w:lang w:val="ka-GE"/>
        </w:rPr>
        <w:t>,</w:t>
      </w:r>
      <w:r w:rsidR="00062CC5">
        <w:rPr>
          <w:rFonts w:ascii="Sylfaen" w:hAnsi="Sylfaen"/>
          <w:lang w:val="ka-GE"/>
        </w:rPr>
        <w:t xml:space="preserve">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w:t>
      </w:r>
      <w:r w:rsidR="00D256D3">
        <w:rPr>
          <w:rFonts w:ascii="Sylfaen" w:hAnsi="Sylfaen"/>
          <w:lang w:val="ka-GE"/>
        </w:rPr>
        <w:t>,</w:t>
      </w:r>
      <w:r w:rsidR="00062CC5">
        <w:rPr>
          <w:rFonts w:ascii="Sylfaen" w:hAnsi="Sylfaen"/>
          <w:lang w:val="ka-GE"/>
        </w:rPr>
        <w:t xml:space="preserve"> ცალსახად იკვეთება პერსონალის პროფესიული მომზადების</w:t>
      </w:r>
      <w:r w:rsidR="00D256D3">
        <w:rPr>
          <w:rFonts w:ascii="Sylfaen" w:hAnsi="Sylfaen"/>
          <w:lang w:val="ka-GE"/>
        </w:rPr>
        <w:t>/გადამზადების</w:t>
      </w:r>
      <w:r w:rsidR="00062CC5">
        <w:rPr>
          <w:rFonts w:ascii="Sylfaen" w:hAnsi="Sylfaen"/>
          <w:lang w:val="ka-GE"/>
        </w:rPr>
        <w:t xml:space="preserve">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lastRenderedPageBreak/>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9CF2C49"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w:t>
      </w:r>
      <w:r w:rsidR="00F81D13">
        <w:rPr>
          <w:rFonts w:ascii="Sylfaen" w:hAnsi="Sylfaen"/>
          <w:lang w:val="ka-GE"/>
        </w:rPr>
        <w:t>,</w:t>
      </w:r>
      <w:r w:rsidR="00062CC5" w:rsidRPr="00062CC5">
        <w:rPr>
          <w:rFonts w:ascii="Sylfaen" w:hAnsi="Sylfaen"/>
          <w:lang w:val="ka-GE"/>
        </w:rPr>
        <w:t xml:space="preserve">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4760A0FB"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 xml:space="preserve">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w:t>
      </w:r>
      <w:r w:rsidR="00EA1510">
        <w:rPr>
          <w:rFonts w:ascii="Sylfaen" w:hAnsi="Sylfaen"/>
          <w:lang w:val="ka-GE"/>
        </w:rPr>
        <w:t>,</w:t>
      </w:r>
      <w:r w:rsidR="00D7165E">
        <w:rPr>
          <w:rFonts w:ascii="Sylfaen" w:hAnsi="Sylfaen"/>
          <w:lang w:val="ka-GE"/>
        </w:rPr>
        <w:t xml:space="preserve">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12830589"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7" w:name="_Toc8112515"/>
      <w:r w:rsidRPr="007D6488">
        <w:rPr>
          <w:rFonts w:ascii="Sylfaen" w:hAnsi="Sylfaen"/>
          <w:i w:val="0"/>
          <w:sz w:val="24"/>
          <w:szCs w:val="24"/>
          <w:lang w:val="ka-GE"/>
        </w:rPr>
        <w:t>2.4</w:t>
      </w:r>
      <w:r w:rsidR="00EA1510">
        <w:rPr>
          <w:rFonts w:ascii="Sylfaen" w:hAnsi="Sylfaen"/>
          <w:i w:val="0"/>
          <w:sz w:val="24"/>
          <w:szCs w:val="24"/>
          <w:lang w:val="ka-GE"/>
        </w:rPr>
        <w:t>.</w:t>
      </w:r>
      <w:r w:rsidRPr="007D6488">
        <w:rPr>
          <w:rFonts w:ascii="Sylfaen" w:hAnsi="Sylfaen"/>
          <w:i w:val="0"/>
          <w:sz w:val="24"/>
          <w:szCs w:val="24"/>
          <w:lang w:val="ka-GE"/>
        </w:rPr>
        <w:t xml:space="preserve"> </w:t>
      </w:r>
      <w:r w:rsidR="00B673B1" w:rsidRPr="007D6488">
        <w:rPr>
          <w:rFonts w:ascii="Sylfaen" w:hAnsi="Sylfaen"/>
          <w:i w:val="0"/>
          <w:sz w:val="24"/>
          <w:szCs w:val="24"/>
          <w:lang w:val="ka-GE"/>
        </w:rPr>
        <w:t>ძლიერი და სუსტი მხარეების</w:t>
      </w:r>
      <w:r w:rsidR="00EA1510">
        <w:rPr>
          <w:rFonts w:ascii="Sylfaen" w:hAnsi="Sylfaen"/>
          <w:i w:val="0"/>
          <w:sz w:val="24"/>
          <w:szCs w:val="24"/>
          <w:lang w:val="ka-GE"/>
        </w:rPr>
        <w:t>,</w:t>
      </w:r>
      <w:r w:rsidR="00B673B1" w:rsidRPr="007D6488">
        <w:rPr>
          <w:rFonts w:ascii="Sylfaen" w:hAnsi="Sylfaen"/>
          <w:i w:val="0"/>
          <w:sz w:val="24"/>
          <w:szCs w:val="24"/>
          <w:lang w:val="ka-GE"/>
        </w:rPr>
        <w:t xml:space="preserve">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7"/>
    </w:p>
    <w:p w14:paraId="44D3AA4B" w14:textId="6FBEA033"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w:t>
      </w:r>
      <w:r w:rsidR="00EA1510">
        <w:rPr>
          <w:rFonts w:ascii="Sylfaen" w:hAnsi="Sylfaen"/>
          <w:lang w:val="ka-GE"/>
        </w:rPr>
        <w:t>,</w:t>
      </w:r>
      <w:r w:rsidRPr="007D6488">
        <w:rPr>
          <w:rFonts w:ascii="Sylfaen" w:hAnsi="Sylfaen"/>
          <w:lang w:val="ka-GE"/>
        </w:rPr>
        <w:t xml:space="preserve">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6A8A3BAC"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w:t>
      </w:r>
      <w:r w:rsidR="00570FDF">
        <w:rPr>
          <w:rFonts w:ascii="Sylfaen" w:hAnsi="Sylfaen"/>
          <w:b/>
        </w:rPr>
        <w:t xml:space="preserve"> </w:t>
      </w:r>
      <w:r w:rsidR="00057248" w:rsidRPr="007D6488">
        <w:rPr>
          <w:rFonts w:ascii="Sylfaen" w:hAnsi="Sylfaen"/>
          <w:b/>
          <w:lang w:val="ka-GE"/>
        </w:rPr>
        <w:t>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24"/>
        <w:gridCol w:w="4715"/>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lastRenderedPageBreak/>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lastRenderedPageBreak/>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73055ACA"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5587406F" w:rsidR="00057248" w:rsidRPr="00C110A9" w:rsidRDefault="00570FDF"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ზოგიერთ შემთხვევაში</w:t>
            </w:r>
            <w:r>
              <w:rPr>
                <w:rFonts w:ascii="Sylfaen" w:hAnsi="Sylfaen"/>
                <w:sz w:val="18"/>
                <w:szCs w:val="18"/>
                <w:lang w:val="en-US"/>
              </w:rPr>
              <w:t xml:space="preserve">,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w:t>
            </w:r>
            <w:r w:rsidR="00EA1510">
              <w:rPr>
                <w:rFonts w:ascii="Sylfaen" w:hAnsi="Sylfaen"/>
                <w:sz w:val="18"/>
                <w:szCs w:val="18"/>
                <w:lang w:val="ka-GE"/>
              </w:rPr>
              <w:t xml:space="preserve"> და</w:t>
            </w:r>
            <w:r w:rsidR="00210765" w:rsidRPr="00C110A9">
              <w:rPr>
                <w:rFonts w:ascii="Sylfaen" w:hAnsi="Sylfaen"/>
                <w:sz w:val="18"/>
                <w:szCs w:val="18"/>
                <w:lang w:val="ka-GE"/>
              </w:rPr>
              <w:t xml:space="preserve"> </w:t>
            </w:r>
            <w:r w:rsidR="00EA1510">
              <w:rPr>
                <w:rFonts w:ascii="Sylfaen" w:hAnsi="Sylfaen"/>
                <w:sz w:val="18"/>
                <w:szCs w:val="18"/>
                <w:lang w:val="ka-GE"/>
              </w:rPr>
              <w:t xml:space="preserve">ოპერაციული კომუნიკაციის </w:t>
            </w:r>
            <w:r w:rsidR="00210765" w:rsidRPr="00C110A9">
              <w:rPr>
                <w:rFonts w:ascii="Sylfaen" w:hAnsi="Sylfaen"/>
                <w:sz w:val="18"/>
                <w:szCs w:val="18"/>
                <w:lang w:val="ka-GE"/>
              </w:rPr>
              <w:t>ნაკლებობა</w:t>
            </w:r>
            <w:r w:rsidR="005A4F48">
              <w:rPr>
                <w:rFonts w:ascii="Sylfaen" w:hAnsi="Sylfaen"/>
                <w:sz w:val="18"/>
                <w:szCs w:val="18"/>
                <w:lang w:val="ka-GE"/>
              </w:rPr>
              <w:t xml:space="preserve"> </w:t>
            </w:r>
          </w:p>
          <w:p w14:paraId="2B0F8EF6" w14:textId="40BFBA5E" w:rsidR="007D6E3A" w:rsidRPr="007D6E3A" w:rsidRDefault="00EA1510"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გაძლიერებას საჭიროებს </w:t>
            </w:r>
            <w:r w:rsidR="007D6E3A">
              <w:rPr>
                <w:rFonts w:ascii="Sylfaen" w:hAnsi="Sylfaen"/>
                <w:sz w:val="18"/>
                <w:szCs w:val="18"/>
                <w:lang w:val="ka-GE"/>
              </w:rPr>
              <w:t xml:space="preserve">სამედიცინო მომსახურების შესახებ არსებული მონაცემების გამოყენება ანალიზისა და გადაწყვეტილების </w:t>
            </w:r>
            <w:r w:rsidR="007D6E3A">
              <w:rPr>
                <w:rFonts w:ascii="Sylfaen" w:hAnsi="Sylfaen"/>
                <w:sz w:val="18"/>
                <w:szCs w:val="18"/>
                <w:lang w:val="ka-GE"/>
              </w:rPr>
              <w:lastRenderedPageBreak/>
              <w:t>მიღებისთვის</w:t>
            </w:r>
            <w:r w:rsidR="009F6485">
              <w:rPr>
                <w:rFonts w:ascii="Sylfaen" w:hAnsi="Sylfaen"/>
                <w:sz w:val="18"/>
                <w:szCs w:val="18"/>
                <w:lang w:val="ka-GE"/>
              </w:rPr>
              <w:t xml:space="preserve"> </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165D6C09"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p>
          <w:p w14:paraId="7D3D8256" w14:textId="2463338E"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3C1C85">
              <w:rPr>
                <w:rFonts w:ascii="Sylfaen" w:hAnsi="Sylfaen"/>
                <w:sz w:val="18"/>
                <w:szCs w:val="18"/>
                <w:lang w:val="ka-GE"/>
              </w:rPr>
              <w:t>.</w:t>
            </w:r>
            <w:r w:rsidR="00555D01">
              <w:rPr>
                <w:rFonts w:ascii="Sylfaen" w:hAnsi="Sylfaen"/>
                <w:sz w:val="18"/>
                <w:szCs w:val="18"/>
                <w:lang w:val="ka-GE"/>
              </w:rPr>
              <w:t xml:space="preserve"> </w:t>
            </w:r>
            <w:r w:rsidR="003C1C85">
              <w:rPr>
                <w:rFonts w:ascii="Sylfaen" w:hAnsi="Sylfaen"/>
                <w:sz w:val="18"/>
                <w:szCs w:val="18"/>
                <w:lang w:val="ka-GE"/>
              </w:rPr>
              <w:t>საჭიროებისა და შესაძლელობის შემთხვევაში,</w:t>
            </w:r>
            <w:r w:rsidR="00555D01">
              <w:rPr>
                <w:rFonts w:ascii="Sylfaen" w:hAnsi="Sylfaen"/>
                <w:sz w:val="18"/>
                <w:szCs w:val="18"/>
                <w:lang w:val="ka-GE"/>
              </w:rPr>
              <w:t xml:space="preserve">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2547FFB1"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მომსახურების</w:t>
            </w:r>
            <w:r w:rsidR="007D6E3A">
              <w:rPr>
                <w:rFonts w:ascii="Sylfaen" w:hAnsi="Sylfaen" w:cs="Sylfaen"/>
                <w:sz w:val="18"/>
                <w:szCs w:val="18"/>
                <w:lang w:val="ka-GE"/>
              </w:rPr>
              <w:t xml:space="preserve"> </w:t>
            </w:r>
            <w:r w:rsidR="0069424E" w:rsidRPr="00C110A9">
              <w:rPr>
                <w:rFonts w:ascii="Sylfaen" w:hAnsi="Sylfaen" w:cs="Sylfaen"/>
                <w:sz w:val="18"/>
                <w:szCs w:val="18"/>
              </w:rPr>
              <w:t>ხარჯებისა</w:t>
            </w:r>
            <w:r w:rsidR="0069424E">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0069424E">
              <w:rPr>
                <w:rFonts w:ascii="Sylfaen" w:hAnsi="Sylfaen" w:cs="Sylfaen"/>
                <w:sz w:val="18"/>
                <w:szCs w:val="18"/>
                <w:lang w:val="ka-GE"/>
              </w:rPr>
              <w:t>სამკურნალო საშუალებების</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3427D527"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ბაზარზე ადვილად შეღწევადობამ</w:t>
            </w:r>
            <w:r w:rsidR="0069424E">
              <w:rPr>
                <w:rFonts w:ascii="Sylfaen" w:hAnsi="Sylfaen"/>
                <w:sz w:val="18"/>
                <w:szCs w:val="18"/>
                <w:lang w:val="ka-GE"/>
              </w:rPr>
              <w:t>,</w:t>
            </w:r>
            <w:r w:rsidR="00057248" w:rsidRPr="00C110A9">
              <w:rPr>
                <w:rFonts w:ascii="Sylfaen" w:hAnsi="Sylfaen"/>
                <w:sz w:val="18"/>
                <w:szCs w:val="18"/>
                <w:lang w:val="ka-GE"/>
              </w:rPr>
              <w:t xml:space="preserve"> შესაძლოა</w:t>
            </w:r>
            <w:r w:rsidR="0069424E">
              <w:rPr>
                <w:rFonts w:ascii="Sylfaen" w:hAnsi="Sylfaen"/>
                <w:sz w:val="18"/>
                <w:szCs w:val="18"/>
                <w:lang w:val="ka-GE"/>
              </w:rPr>
              <w:t>,</w:t>
            </w:r>
            <w:r w:rsidR="00057248" w:rsidRPr="00C110A9">
              <w:rPr>
                <w:rFonts w:ascii="Sylfaen" w:hAnsi="Sylfaen"/>
                <w:sz w:val="18"/>
                <w:szCs w:val="18"/>
                <w:lang w:val="ka-GE"/>
              </w:rPr>
              <w:t xml:space="preserve">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17B74BBA" w14:textId="5628F9C6"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 xml:space="preserve">სტრატეგიული შესყიდვის დანერგვაზე რეზისტენტობა </w:t>
            </w:r>
            <w:r w:rsidR="0069424E">
              <w:rPr>
                <w:rFonts w:ascii="Sylfaen" w:hAnsi="Sylfaen"/>
                <w:sz w:val="18"/>
                <w:szCs w:val="18"/>
                <w:lang w:val="ka-GE"/>
              </w:rPr>
              <w:t>სერვისის მიმწოდებელთა</w:t>
            </w:r>
            <w:r w:rsidRPr="00160E2A">
              <w:rPr>
                <w:rFonts w:ascii="Sylfaen" w:hAnsi="Sylfaen"/>
                <w:sz w:val="18"/>
                <w:szCs w:val="18"/>
                <w:lang w:val="ka-GE"/>
              </w:rPr>
              <w:t xml:space="preserve">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192D4BAA"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w:t>
      </w:r>
      <w:r w:rsidR="00687206">
        <w:rPr>
          <w:rFonts w:ascii="Sylfaen" w:hAnsi="Sylfaen"/>
          <w:lang w:val="ka-GE"/>
        </w:rPr>
        <w:t>, კერძოდ,</w:t>
      </w:r>
      <w:r w:rsidRPr="001B2B2A">
        <w:rPr>
          <w:rFonts w:ascii="Sylfaen" w:hAnsi="Sylfaen"/>
          <w:lang w:val="ka-GE"/>
        </w:rPr>
        <w:t xml:space="preserve">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4A8C0037" w:rsidR="001B2B2A" w:rsidRDefault="001B2B2A" w:rsidP="001B2B2A">
      <w:pPr>
        <w:spacing w:line="276" w:lineRule="auto"/>
        <w:jc w:val="both"/>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w:t>
      </w:r>
      <w:r w:rsidR="00CF44EE">
        <w:rPr>
          <w:rFonts w:ascii="Sylfaen" w:hAnsi="Sylfaen"/>
          <w:lang w:val="ka-GE"/>
        </w:rPr>
        <w:t>სა</w:t>
      </w:r>
      <w:r w:rsidRPr="00EC1A54">
        <w:rPr>
          <w:rFonts w:ascii="Sylfaen" w:hAnsi="Sylfaen"/>
          <w:lang w:val="ka-GE"/>
        </w:rPr>
        <w:t xml:space="preserve">ხურების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w:t>
      </w:r>
      <w:r w:rsidR="00CF44EE">
        <w:rPr>
          <w:rFonts w:ascii="Sylfaen" w:hAnsi="Sylfaen"/>
          <w:lang w:val="ka-GE"/>
        </w:rPr>
        <w:t>ერთ- ერთი ძირითადი</w:t>
      </w:r>
      <w:r w:rsidRPr="00EC1A54">
        <w:rPr>
          <w:rFonts w:ascii="Sylfaen" w:hAnsi="Sylfaen"/>
          <w:lang w:val="ka-GE"/>
        </w:rPr>
        <w:t xml:space="preserve">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43D86A53" w:rsidR="00EA60FD" w:rsidRDefault="001B2B2A" w:rsidP="001B2B2A">
      <w:pPr>
        <w:spacing w:line="276" w:lineRule="auto"/>
        <w:jc w:val="both"/>
        <w:rPr>
          <w:rFonts w:ascii="Sylfaen" w:hAnsi="Sylfaen"/>
          <w:lang w:val="ka-GE"/>
        </w:rPr>
      </w:pPr>
      <w:r w:rsidRPr="00EC1A54">
        <w:rPr>
          <w:rFonts w:ascii="Sylfaen" w:hAnsi="Sylfaen"/>
          <w:lang w:val="ka-GE"/>
        </w:rPr>
        <w:t>წინამდებარე სტრატეგია აყალიბებს კონკრეტულ ამოცანებს</w:t>
      </w:r>
      <w:r w:rsidR="00957179">
        <w:rPr>
          <w:rFonts w:ascii="Sylfaen" w:hAnsi="Sylfaen"/>
          <w:lang w:val="ka-GE"/>
        </w:rPr>
        <w:t>,</w:t>
      </w:r>
      <w:r w:rsidRPr="00EC1A54">
        <w:rPr>
          <w:rFonts w:ascii="Sylfaen" w:hAnsi="Sylfaen"/>
          <w:lang w:val="ka-GE"/>
        </w:rPr>
        <w:t xml:space="preserve"> </w:t>
      </w:r>
      <w:r>
        <w:rPr>
          <w:rFonts w:ascii="Sylfaen" w:hAnsi="Sylfaen"/>
          <w:lang w:val="ka-GE"/>
        </w:rPr>
        <w:t>უნივერსალურ ჯანდაცვაზე ხელმისაწვდომობის კონტექსტში</w:t>
      </w:r>
      <w:r w:rsidR="00957179">
        <w:rPr>
          <w:rFonts w:ascii="Sylfaen" w:hAnsi="Sylfaen"/>
          <w:lang w:val="ka-GE"/>
        </w:rPr>
        <w:t>,</w:t>
      </w:r>
      <w:r>
        <w:rPr>
          <w:rFonts w:ascii="Sylfaen" w:hAnsi="Sylfaen"/>
          <w:lang w:val="ka-GE"/>
        </w:rPr>
        <w:t xml:space="preserve">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6A35F656" w:rsidR="00817D8A" w:rsidRDefault="00EA60FD" w:rsidP="00817D8A">
      <w:pPr>
        <w:spacing w:line="276" w:lineRule="auto"/>
        <w:jc w:val="both"/>
        <w:rPr>
          <w:rFonts w:ascii="Sylfaen" w:hAnsi="Sylfaen"/>
          <w:lang w:val="ka-GE"/>
        </w:rPr>
      </w:pPr>
      <w:r>
        <w:rPr>
          <w:rFonts w:ascii="Sylfaen" w:hAnsi="Sylfaen"/>
          <w:lang w:val="ka-GE"/>
        </w:rPr>
        <w:lastRenderedPageBreak/>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საქართველოს კანონები</w:t>
      </w:r>
      <w:r w:rsidR="00957179">
        <w:rPr>
          <w:rFonts w:ascii="Sylfaen" w:hAnsi="Sylfaen"/>
          <w:lang w:val="ka-GE"/>
        </w:rPr>
        <w:t>:</w:t>
      </w:r>
      <w:r w:rsidR="00817D8A" w:rsidRPr="001B2B2A">
        <w:rPr>
          <w:rFonts w:ascii="Sylfaen" w:hAnsi="Sylfaen"/>
          <w:lang w:val="ka-GE"/>
        </w:rPr>
        <w:t xml:space="preserve">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lastRenderedPageBreak/>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8"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8"/>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9"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9"/>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77F112B9"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w:t>
      </w:r>
      <w:r w:rsidR="008E5332">
        <w:rPr>
          <w:rFonts w:ascii="Sylfaen" w:hAnsi="Sylfaen" w:cs="Sylfaen"/>
          <w:lang w:val="ka-GE"/>
        </w:rPr>
        <w:t>რ</w:t>
      </w:r>
      <w:r w:rsidRPr="007D6488">
        <w:rPr>
          <w:rFonts w:ascii="Sylfaen" w:hAnsi="Sylfaen" w:cs="Sylfaen"/>
          <w:lang w:val="ka-GE"/>
        </w:rPr>
        <w:t>ატეგიული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w:t>
      </w:r>
      <w:r w:rsidR="008E5332">
        <w:rPr>
          <w:rFonts w:ascii="Sylfaen" w:hAnsi="Sylfaen" w:cs="Sylfaen"/>
          <w:lang w:val="ka-GE"/>
        </w:rPr>
        <w:t xml:space="preserve"> -</w:t>
      </w:r>
      <w:r w:rsidRPr="007D6488">
        <w:rPr>
          <w:rFonts w:ascii="Sylfaen" w:hAnsi="Sylfaen" w:cs="Sylfaen"/>
          <w:lang w:val="ka-GE"/>
        </w:rPr>
        <w:t xml:space="preserve">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736A1BD5"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w:t>
      </w:r>
      <w:r w:rsidR="008E5332">
        <w:rPr>
          <w:rFonts w:ascii="Sylfaen" w:hAnsi="Sylfaen"/>
          <w:lang w:val="ka-GE"/>
        </w:rPr>
        <w:t xml:space="preserve"> აწყდება</w:t>
      </w:r>
      <w:r>
        <w:rPr>
          <w:rFonts w:ascii="Sylfaen" w:hAnsi="Sylfaen"/>
          <w:lang w:val="ka-GE"/>
        </w:rPr>
        <w:t>,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w:t>
      </w:r>
      <w:r w:rsidR="008E5332">
        <w:rPr>
          <w:rFonts w:ascii="Sylfaen" w:hAnsi="Sylfaen"/>
          <w:lang w:val="ka-GE"/>
        </w:rPr>
        <w:t>,</w:t>
      </w:r>
      <w:r w:rsidRPr="007D6488">
        <w:rPr>
          <w:rFonts w:ascii="Sylfaen" w:hAnsi="Sylfaen"/>
          <w:lang w:val="ka-GE"/>
        </w:rPr>
        <w:t xml:space="preserve"> ჯერ კიდევ</w:t>
      </w:r>
      <w:r w:rsidR="008E5332">
        <w:rPr>
          <w:rFonts w:ascii="Sylfaen" w:hAnsi="Sylfaen"/>
          <w:lang w:val="ka-GE"/>
        </w:rPr>
        <w:t>,</w:t>
      </w:r>
      <w:r w:rsidRPr="007D6488">
        <w:rPr>
          <w:rFonts w:ascii="Sylfaen" w:hAnsi="Sylfaen"/>
          <w:lang w:val="ka-GE"/>
        </w:rPr>
        <w:t xml:space="preserve"> გამოწვევად რჩება (5</w:t>
      </w:r>
      <w:r w:rsidR="00F407D5">
        <w:rPr>
          <w:rFonts w:ascii="Sylfaen" w:hAnsi="Sylfaen"/>
        </w:rPr>
        <w:t>5</w:t>
      </w:r>
      <w:r w:rsidRPr="007D6488">
        <w:rPr>
          <w:rFonts w:ascii="Sylfaen" w:hAnsi="Sylfaen"/>
          <w:lang w:val="ka-GE"/>
        </w:rPr>
        <w:t>% - 2017),  ასევე</w:t>
      </w:r>
      <w:r w:rsidR="008E5332">
        <w:rPr>
          <w:rFonts w:ascii="Sylfaen" w:hAnsi="Sylfaen"/>
          <w:lang w:val="ka-GE"/>
        </w:rPr>
        <w:t>,</w:t>
      </w:r>
      <w:r w:rsidRPr="007D6488">
        <w:rPr>
          <w:rFonts w:ascii="Sylfaen" w:hAnsi="Sylfaen"/>
          <w:lang w:val="ka-GE"/>
        </w:rPr>
        <w:t xml:space="preserve">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w:t>
      </w:r>
      <w:r w:rsidR="008E5332">
        <w:rPr>
          <w:rFonts w:ascii="Sylfaen" w:hAnsi="Sylfaen"/>
          <w:lang w:val="ka-GE"/>
        </w:rPr>
        <w:t>3</w:t>
      </w:r>
      <w:r w:rsidRPr="007D6488">
        <w:rPr>
          <w:rFonts w:ascii="Sylfaen" w:hAnsi="Sylfaen"/>
          <w:lang w:val="ka-GE"/>
        </w:rPr>
        <w:t>%)</w:t>
      </w:r>
      <w:r w:rsidR="00DA0A55">
        <w:rPr>
          <w:rStyle w:val="FootnoteReference"/>
          <w:rFonts w:ascii="Sylfaen" w:hAnsi="Sylfaen"/>
          <w:lang w:val="ka-GE"/>
        </w:rPr>
        <w:footnoteReference w:id="23"/>
      </w:r>
      <w:r w:rsidRPr="007D6488">
        <w:rPr>
          <w:rFonts w:ascii="Sylfaen" w:hAnsi="Sylfaen"/>
          <w:lang w:val="ka-GE"/>
        </w:rPr>
        <w:t>.</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lastRenderedPageBreak/>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0" w:name="_Toc8112518"/>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10"/>
    </w:p>
    <w:p w14:paraId="7A51AB6A" w14:textId="317E7F14"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w:t>
      </w:r>
      <w:r w:rsidR="009E46DF">
        <w:rPr>
          <w:rFonts w:ascii="Sylfaen" w:hAnsi="Sylfaen"/>
          <w:lang w:val="ka-GE"/>
        </w:rPr>
        <w:t>სერვისის მიმწოდებელთა</w:t>
      </w:r>
      <w:r w:rsidRPr="007D6488">
        <w:rPr>
          <w:rFonts w:ascii="Sylfaen" w:hAnsi="Sylfaen"/>
          <w:lang w:val="ka-GE"/>
        </w:rPr>
        <w:t xml:space="preserve">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w:t>
            </w:r>
            <w:r w:rsidR="001D5525">
              <w:rPr>
                <w:rFonts w:ascii="Sylfaen" w:hAnsi="Sylfaen"/>
                <w:sz w:val="22"/>
                <w:szCs w:val="22"/>
                <w:lang w:val="ka-GE"/>
              </w:rPr>
              <w:lastRenderedPageBreak/>
              <w:t>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lastRenderedPageBreak/>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1"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1"/>
      <w:r w:rsidR="00F00195" w:rsidRPr="00E64AA7">
        <w:rPr>
          <w:rFonts w:ascii="Sylfaen" w:hAnsi="Sylfaen"/>
          <w:bCs w:val="0"/>
          <w:i w:val="0"/>
          <w:sz w:val="24"/>
          <w:szCs w:val="24"/>
          <w:lang w:val="ka-GE"/>
        </w:rPr>
        <w:t xml:space="preserve"> </w:t>
      </w:r>
    </w:p>
    <w:p w14:paraId="274A5C1B" w14:textId="0A3062EF"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w:t>
      </w:r>
      <w:r w:rsidR="004E6153">
        <w:rPr>
          <w:rFonts w:ascii="Sylfaen" w:hAnsi="Sylfaen"/>
          <w:lang w:val="ka-GE"/>
        </w:rPr>
        <w:t>სურათი</w:t>
      </w:r>
      <w:r w:rsidRPr="001A4D68">
        <w:rPr>
          <w:rFonts w:ascii="Sylfaen" w:hAnsi="Sylfaen"/>
          <w:lang w:val="ka-GE"/>
        </w:rPr>
        <w:t xml:space="preserve"> 1). </w:t>
      </w:r>
    </w:p>
    <w:p w14:paraId="32CFB432" w14:textId="77777777" w:rsidR="00FB4841" w:rsidRDefault="00FB4841" w:rsidP="00F00195">
      <w:pPr>
        <w:spacing w:line="276" w:lineRule="auto"/>
        <w:jc w:val="both"/>
        <w:rPr>
          <w:rFonts w:ascii="Sylfaen" w:hAnsi="Sylfaen"/>
          <w:lang w:val="ka-GE"/>
        </w:rPr>
      </w:pPr>
    </w:p>
    <w:p w14:paraId="7DE6D623" w14:textId="1B571860" w:rsidR="00FB4841" w:rsidRPr="001A4D68" w:rsidRDefault="00FB4841" w:rsidP="00FB4841">
      <w:pPr>
        <w:spacing w:line="276" w:lineRule="auto"/>
        <w:jc w:val="both"/>
        <w:rPr>
          <w:rFonts w:ascii="Sylfaen" w:hAnsi="Sylfaen"/>
          <w:lang w:val="ka-GE"/>
        </w:rPr>
      </w:pPr>
      <w:r w:rsidRPr="001A4D68">
        <w:rPr>
          <w:rFonts w:ascii="Sylfaen" w:hAnsi="Sylfaen"/>
          <w:lang w:val="ka-GE"/>
        </w:rPr>
        <w:t>ზემოაღნიშნული სფეროების ძირითადი ელემენტების გათვალისწინებით</w:t>
      </w:r>
      <w:r w:rsidR="003E07D1">
        <w:rPr>
          <w:rFonts w:ascii="Sylfaen" w:hAnsi="Sylfaen"/>
          <w:lang w:val="ka-GE"/>
        </w:rPr>
        <w:t>,</w:t>
      </w:r>
      <w:r w:rsidRPr="001A4D68">
        <w:rPr>
          <w:rFonts w:ascii="Sylfaen" w:hAnsi="Sylfaen"/>
          <w:lang w:val="ka-GE"/>
        </w:rPr>
        <w:t xml:space="preserve"> სტრატეგიის მომზადებისას</w:t>
      </w:r>
      <w:r w:rsidR="003E07D1">
        <w:rPr>
          <w:rFonts w:ascii="Sylfaen" w:hAnsi="Sylfaen"/>
          <w:lang w:val="ka-GE"/>
        </w:rPr>
        <w:t>,</w:t>
      </w:r>
      <w:r w:rsidRPr="001A4D68">
        <w:rPr>
          <w:rFonts w:ascii="Sylfaen" w:hAnsi="Sylfaen"/>
          <w:lang w:val="ka-GE"/>
        </w:rPr>
        <w:t xml:space="preserve"> გამოყენებულ იქნა შემდეგი სახელმძღვანელო პრინციპები: </w:t>
      </w:r>
    </w:p>
    <w:p w14:paraId="1BB1FDF8" w14:textId="3A4047BC"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r w:rsidR="003E07D1">
        <w:rPr>
          <w:rFonts w:ascii="Sylfaen" w:hAnsi="Sylfaen"/>
          <w:lang w:val="ka-GE"/>
        </w:rPr>
        <w:t>;</w:t>
      </w:r>
    </w:p>
    <w:p w14:paraId="1668D34F" w14:textId="18C41DB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r w:rsidR="003E07D1">
        <w:rPr>
          <w:rFonts w:ascii="Sylfaen" w:hAnsi="Sylfaen"/>
          <w:lang w:val="ka-GE"/>
        </w:rPr>
        <w:t>;</w:t>
      </w:r>
    </w:p>
    <w:p w14:paraId="4E7F4ABA" w14:textId="465373EF"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r w:rsidR="003E07D1">
        <w:rPr>
          <w:rFonts w:ascii="Sylfaen" w:hAnsi="Sylfaen"/>
          <w:lang w:val="ka-GE"/>
        </w:rPr>
        <w:t>;</w:t>
      </w:r>
    </w:p>
    <w:p w14:paraId="046290EC" w14:textId="394F6FFE"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r w:rsidR="003E07D1">
        <w:rPr>
          <w:rFonts w:ascii="Sylfaen" w:hAnsi="Sylfaen"/>
          <w:lang w:val="ka-GE"/>
        </w:rPr>
        <w:t>;</w:t>
      </w:r>
    </w:p>
    <w:p w14:paraId="545E6EEC" w14:textId="7D5031A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w:t>
      </w:r>
      <w:r w:rsidR="003E07D1" w:rsidRPr="001A4D68">
        <w:rPr>
          <w:rFonts w:ascii="Sylfaen" w:hAnsi="Sylfaen"/>
          <w:lang w:val="ka-GE"/>
        </w:rPr>
        <w:t>განსაზღვრა</w:t>
      </w:r>
      <w:r w:rsidR="003E07D1">
        <w:rPr>
          <w:rFonts w:ascii="Sylfaen" w:hAnsi="Sylfaen"/>
          <w:lang w:val="ka-GE"/>
        </w:rPr>
        <w:t>.</w:t>
      </w:r>
    </w:p>
    <w:p w14:paraId="716902CF" w14:textId="77777777" w:rsidR="00D5588B" w:rsidRPr="001A4D68" w:rsidRDefault="00D5588B" w:rsidP="00F00195">
      <w:pPr>
        <w:spacing w:line="276" w:lineRule="auto"/>
        <w:jc w:val="both"/>
        <w:rPr>
          <w:rFonts w:ascii="Sylfaen" w:hAnsi="Sylfaen"/>
          <w:lang w:val="ka-GE"/>
        </w:rPr>
      </w:pPr>
    </w:p>
    <w:p w14:paraId="2D3507CC" w14:textId="090C82DD" w:rsidR="00F00195" w:rsidRPr="00A95F67" w:rsidRDefault="004E6153" w:rsidP="00F00195">
      <w:pPr>
        <w:spacing w:line="276" w:lineRule="auto"/>
        <w:jc w:val="both"/>
        <w:rPr>
          <w:rFonts w:ascii="Sylfaen" w:hAnsi="Sylfaen"/>
          <w:sz w:val="22"/>
          <w:lang w:val="ka-GE"/>
        </w:rPr>
      </w:pPr>
      <w:r>
        <w:rPr>
          <w:rFonts w:ascii="Sylfaen" w:hAnsi="Sylfaen"/>
          <w:b/>
          <w:sz w:val="22"/>
          <w:lang w:val="ka-GE"/>
        </w:rPr>
        <w:t xml:space="preserve">სურათი </w:t>
      </w:r>
      <w:r w:rsidR="00F00195" w:rsidRPr="00A95F67">
        <w:rPr>
          <w:rFonts w:ascii="Sylfaen" w:hAnsi="Sylfaen"/>
          <w:b/>
          <w:sz w:val="22"/>
          <w:lang w:val="ka-GE"/>
        </w:rPr>
        <w:t>1.</w:t>
      </w:r>
      <w:r w:rsidR="00FB4841">
        <w:rPr>
          <w:rFonts w:ascii="Sylfaen" w:hAnsi="Sylfaen"/>
          <w:b/>
          <w:sz w:val="22"/>
          <w:lang w:val="ka-GE"/>
        </w:rPr>
        <w:t xml:space="preserve"> </w:t>
      </w:r>
      <w:r w:rsidR="00F00195"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lastRenderedPageBreak/>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8"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15807A96"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w:t>
      </w:r>
      <w:r w:rsidR="003E07D1">
        <w:rPr>
          <w:rFonts w:ascii="Sylfaen" w:hAnsi="Sylfaen"/>
          <w:szCs w:val="22"/>
          <w:lang w:val="ka-GE"/>
        </w:rPr>
        <w:t>;</w:t>
      </w:r>
      <w:r w:rsidRPr="00A95F67">
        <w:rPr>
          <w:rFonts w:ascii="Sylfaen" w:hAnsi="Sylfaen"/>
          <w:szCs w:val="22"/>
          <w:lang w:val="ka-GE"/>
        </w:rPr>
        <w:t xml:space="preserve">  </w:t>
      </w:r>
    </w:p>
    <w:p w14:paraId="7E3B30F7" w14:textId="16196541"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003E07D1">
        <w:rPr>
          <w:rFonts w:ascii="Sylfaen" w:hAnsi="Sylfaen" w:cs="Sylfaen"/>
          <w:szCs w:val="22"/>
          <w:lang w:val="ka-GE"/>
        </w:rPr>
        <w:t>;</w:t>
      </w:r>
      <w:r w:rsidRPr="00A95F67">
        <w:rPr>
          <w:rFonts w:ascii="Sylfaen" w:hAnsi="Sylfaen"/>
          <w:szCs w:val="22"/>
          <w:lang w:val="ka-GE"/>
        </w:rPr>
        <w:t xml:space="preserve"> </w:t>
      </w:r>
    </w:p>
    <w:p w14:paraId="3FD27488" w14:textId="4B7476A8"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003E07D1">
        <w:rPr>
          <w:rFonts w:ascii="Sylfaen" w:hAnsi="Sylfaen" w:cs="Sylfaen"/>
          <w:szCs w:val="22"/>
          <w:lang w:val="ka-GE"/>
        </w:rPr>
        <w:t>;</w:t>
      </w:r>
      <w:r w:rsidRPr="00A95F67">
        <w:rPr>
          <w:rFonts w:ascii="Sylfaen" w:hAnsi="Sylfaen"/>
          <w:szCs w:val="22"/>
          <w:lang w:val="ka-GE"/>
        </w:rPr>
        <w:t xml:space="preserve"> </w:t>
      </w:r>
    </w:p>
    <w:p w14:paraId="07CD688A" w14:textId="674E344C"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003E07D1">
        <w:rPr>
          <w:rFonts w:ascii="Sylfaen" w:hAnsi="Sylfaen"/>
          <w:szCs w:val="22"/>
          <w:lang w:val="ka-GE"/>
        </w:rPr>
        <w:t>წახალისების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003E07D1">
        <w:rPr>
          <w:rFonts w:ascii="Sylfaen" w:hAnsi="Sylfaen" w:cs="Sylfaen"/>
          <w:szCs w:val="22"/>
          <w:lang w:val="ka-GE"/>
        </w:rPr>
        <w:t>;</w:t>
      </w:r>
      <w:r w:rsidRPr="00A95F67">
        <w:rPr>
          <w:rFonts w:ascii="Sylfaen" w:hAnsi="Sylfaen"/>
          <w:szCs w:val="22"/>
          <w:lang w:val="ka-GE"/>
        </w:rPr>
        <w:t xml:space="preserve"> </w:t>
      </w:r>
    </w:p>
    <w:p w14:paraId="6E303585" w14:textId="2B8D29FB"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r w:rsidR="003E07D1">
        <w:rPr>
          <w:rFonts w:ascii="Sylfaen" w:hAnsi="Sylfaen" w:cs="Sylfaen"/>
          <w:szCs w:val="22"/>
          <w:lang w:val="ka-GE"/>
        </w:rPr>
        <w:t>;</w:t>
      </w:r>
    </w:p>
    <w:p w14:paraId="431B8091" w14:textId="77777777" w:rsidR="004915F0" w:rsidRDefault="004915F0" w:rsidP="002E11FD">
      <w:pPr>
        <w:rPr>
          <w:rFonts w:ascii="Sylfaen" w:hAnsi="Sylfaen"/>
          <w:szCs w:val="22"/>
        </w:rPr>
      </w:pPr>
    </w:p>
    <w:p w14:paraId="795E0826" w14:textId="3BB1197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00A95A53">
        <w:rPr>
          <w:rFonts w:ascii="Sylfaen" w:hAnsi="Sylfaen"/>
          <w:szCs w:val="22"/>
          <w:lang w:val="ka-GE"/>
        </w:rPr>
        <w:t xml:space="preserve"> სტ</w:t>
      </w:r>
      <w:r w:rsidRPr="001A4D68">
        <w:rPr>
          <w:rFonts w:ascii="Sylfaen" w:hAnsi="Sylfaen"/>
          <w:szCs w:val="22"/>
          <w:lang w:val="ka-GE"/>
        </w:rPr>
        <w:t>რ</w:t>
      </w:r>
      <w:r w:rsidR="00A95A53">
        <w:rPr>
          <w:rFonts w:ascii="Sylfaen" w:hAnsi="Sylfaen"/>
          <w:szCs w:val="22"/>
          <w:lang w:val="ka-GE"/>
        </w:rPr>
        <w:t>ა</w:t>
      </w:r>
      <w:r w:rsidRPr="001A4D68">
        <w:rPr>
          <w:rFonts w:ascii="Sylfaen" w:hAnsi="Sylfaen"/>
          <w:szCs w:val="22"/>
          <w:lang w:val="ka-GE"/>
        </w:rPr>
        <w:t>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2" w:name="_Toc8112520"/>
      <w:r w:rsidRPr="007D6488">
        <w:rPr>
          <w:rFonts w:ascii="Sylfaen" w:hAnsi="Sylfaen"/>
          <w:bCs w:val="0"/>
          <w:i w:val="0"/>
          <w:sz w:val="24"/>
          <w:szCs w:val="24"/>
          <w:lang w:val="ka-GE"/>
        </w:rPr>
        <w:lastRenderedPageBreak/>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2"/>
    </w:p>
    <w:p w14:paraId="74D52F86" w14:textId="0505E0A3" w:rsidR="00F00195" w:rsidRDefault="00057248" w:rsidP="00BC458D">
      <w:pPr>
        <w:spacing w:line="276" w:lineRule="auto"/>
        <w:jc w:val="both"/>
        <w:rPr>
          <w:rFonts w:ascii="Sylfaen" w:hAnsi="Sylfaen"/>
          <w:lang w:val="ka-GE"/>
        </w:rPr>
      </w:pPr>
      <w:bookmarkStart w:id="13" w:name="_Toc516059284"/>
      <w:bookmarkStart w:id="14"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057ACBD9"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w:t>
      </w:r>
      <w:r w:rsidR="00D11C46">
        <w:rPr>
          <w:rFonts w:ascii="Sylfaen" w:eastAsia="Calibri" w:hAnsi="Sylfaen" w:cs="Calibri"/>
          <w:lang w:val="ka-GE"/>
        </w:rPr>
        <w:t xml:space="preserve"> სსიპ</w:t>
      </w:r>
      <w:r w:rsidR="00F00195" w:rsidRPr="007D6488">
        <w:rPr>
          <w:rFonts w:ascii="Sylfaen" w:eastAsia="Calibri" w:hAnsi="Sylfaen" w:cs="Calibri"/>
          <w:lang w:val="ka-GE"/>
        </w:rPr>
        <w:t xml:space="preserve">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88"/>
        <w:gridCol w:w="915"/>
        <w:gridCol w:w="992"/>
        <w:gridCol w:w="993"/>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3"/>
    <w:bookmarkEnd w:id="14"/>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5"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5"/>
    </w:p>
    <w:p w14:paraId="57770F53" w14:textId="77777777" w:rsidR="00B16049" w:rsidRDefault="00041680" w:rsidP="00BC458D">
      <w:pPr>
        <w:spacing w:line="276" w:lineRule="auto"/>
        <w:jc w:val="both"/>
        <w:rPr>
          <w:rFonts w:ascii="Sylfaen" w:hAnsi="Sylfaen"/>
          <w:lang w:val="ka-GE"/>
        </w:rPr>
      </w:pPr>
      <w:bookmarkStart w:id="16" w:name="OLE_LINK1"/>
      <w:bookmarkStart w:id="17"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6"/>
      <w:bookmarkEnd w:id="17"/>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5CDDF031"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ბა ისევე</w:t>
      </w:r>
      <w:r w:rsidR="00482CC7">
        <w:rPr>
          <w:rFonts w:ascii="Sylfaen" w:hAnsi="Sylfaen"/>
          <w:lang w:val="ka-GE"/>
        </w:rPr>
        <w:t>,</w:t>
      </w:r>
      <w:r w:rsidR="00057248" w:rsidRPr="007D6488">
        <w:rPr>
          <w:rFonts w:ascii="Sylfaen" w:hAnsi="Sylfaen"/>
          <w:lang w:val="ka-GE"/>
        </w:rPr>
        <w:t xml:space="preserve">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1D1BE2F"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 xml:space="preserve">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482CC7">
        <w:rPr>
          <w:rFonts w:ascii="Sylfaen" w:hAnsi="Sylfaen" w:cs="Sylfaen"/>
          <w:lang w:val="ka-GE"/>
        </w:rPr>
        <w:t xml:space="preserve"> სააგენტოს</w:t>
      </w:r>
      <w:r w:rsidR="00B67DCC">
        <w:rPr>
          <w:rFonts w:ascii="Sylfaen" w:hAnsi="Sylfaen" w:cs="Sylfaen"/>
          <w:lang w:val="ka-GE"/>
        </w:rPr>
        <w:t xml:space="preserve"> </w:t>
      </w:r>
      <w:r w:rsidR="004D4854" w:rsidRPr="007D6488">
        <w:rPr>
          <w:rFonts w:ascii="Sylfaen" w:hAnsi="Sylfaen"/>
          <w:lang w:val="ka-GE"/>
        </w:rPr>
        <w:t xml:space="preserve">დაეხმარება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44BF17D"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w:t>
      </w:r>
      <w:r w:rsidR="00FD7496">
        <w:rPr>
          <w:rFonts w:ascii="Sylfaen" w:eastAsia="Calibri" w:hAnsi="Sylfaen" w:cs="Sylfaen"/>
          <w:lang w:val="ka-GE"/>
        </w:rPr>
        <w:t>,</w:t>
      </w:r>
      <w:r w:rsidRPr="007D6488">
        <w:rPr>
          <w:rFonts w:ascii="Sylfaen" w:eastAsia="Calibri" w:hAnsi="Sylfaen" w:cs="Sylfaen"/>
          <w:lang w:val="en-GB"/>
        </w:rPr>
        <w:t xml:space="preserve"> დაკონტრაქტების პრინციპების შემუშავება, მათ შორის</w:t>
      </w:r>
      <w:r w:rsidR="00FD7496">
        <w:rPr>
          <w:rFonts w:ascii="Sylfaen" w:eastAsia="Calibri" w:hAnsi="Sylfaen" w:cs="Sylfaen"/>
          <w:lang w:val="ka-GE"/>
        </w:rPr>
        <w:t>,</w:t>
      </w:r>
      <w:r w:rsidRPr="007D6488">
        <w:rPr>
          <w:rFonts w:ascii="Sylfaen" w:eastAsia="Calibri" w:hAnsi="Sylfaen" w:cs="Sylfaen"/>
          <w:lang w:val="en-GB"/>
        </w:rPr>
        <w:t xml:space="preserve">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86"/>
        <w:gridCol w:w="1353"/>
        <w:gridCol w:w="915"/>
        <w:gridCol w:w="851"/>
        <w:gridCol w:w="1134"/>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49545E0B" w:rsidR="001D5525" w:rsidRPr="00C110A9" w:rsidRDefault="001D5525" w:rsidP="00147DA1">
            <w:pPr>
              <w:jc w:val="both"/>
              <w:rPr>
                <w:rFonts w:ascii="Sylfaen" w:hAnsi="Sylfaen"/>
                <w:sz w:val="22"/>
                <w:szCs w:val="22"/>
                <w:lang w:val="ka-GE"/>
              </w:rPr>
            </w:pPr>
            <w:r w:rsidRPr="00C110A9">
              <w:rPr>
                <w:rFonts w:ascii="Sylfaen" w:hAnsi="Sylfaen"/>
                <w:sz w:val="22"/>
                <w:szCs w:val="22"/>
              </w:rPr>
              <w:t>DRG</w:t>
            </w:r>
            <w:r w:rsidR="00147DA1">
              <w:rPr>
                <w:rFonts w:ascii="Sylfaen" w:hAnsi="Sylfaen"/>
                <w:sz w:val="22"/>
                <w:szCs w:val="22"/>
                <w:lang w:val="ka-GE"/>
              </w:rPr>
              <w:t>-</w:t>
            </w:r>
            <w:r w:rsidRPr="00C110A9">
              <w:rPr>
                <w:rFonts w:ascii="Sylfaen" w:hAnsi="Sylfaen"/>
                <w:sz w:val="22"/>
                <w:szCs w:val="22"/>
                <w:lang w:val="ka-GE"/>
              </w:rPr>
              <w:t xml:space="preserve">ის წილი ჰოსპიტალურ  </w:t>
            </w:r>
            <w:r w:rsidRPr="00C110A9">
              <w:rPr>
                <w:rFonts w:ascii="Sylfaen" w:hAnsi="Sylfaen"/>
                <w:sz w:val="22"/>
                <w:szCs w:val="22"/>
                <w:lang w:val="ka-GE"/>
              </w:rPr>
              <w:lastRenderedPageBreak/>
              <w:t>მომსახურეობაზე</w:t>
            </w:r>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lastRenderedPageBreak/>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w:t>
            </w:r>
            <w:r w:rsidRPr="00C110A9">
              <w:rPr>
                <w:rFonts w:ascii="Sylfaen" w:hAnsi="Sylfaen"/>
                <w:sz w:val="22"/>
                <w:szCs w:val="22"/>
              </w:rPr>
              <w:lastRenderedPageBreak/>
              <w:t xml:space="preserve">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lastRenderedPageBreak/>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8"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18"/>
    </w:p>
    <w:p w14:paraId="048D565F" w14:textId="6F09BB2F" w:rsidR="00781A7F" w:rsidRDefault="004A6415" w:rsidP="00BC458D">
      <w:pPr>
        <w:spacing w:line="276" w:lineRule="auto"/>
        <w:jc w:val="both"/>
        <w:rPr>
          <w:rFonts w:ascii="Sylfaen" w:hAnsi="Sylfaen"/>
          <w:lang w:val="ka-GE"/>
        </w:rPr>
      </w:pPr>
      <w:r w:rsidRPr="007D6488">
        <w:rPr>
          <w:rFonts w:ascii="Sylfaen" w:hAnsi="Sylfaen"/>
          <w:lang w:val="ka-GE"/>
        </w:rPr>
        <w:t>არცერთი ქვეყნის ჯანდაცვის სისტემას არ ძალუძს</w:t>
      </w:r>
      <w:r w:rsidR="00D64B35">
        <w:rPr>
          <w:rFonts w:ascii="Sylfaen" w:hAnsi="Sylfaen"/>
          <w:lang w:val="ka-GE"/>
        </w:rPr>
        <w:t>,</w:t>
      </w:r>
      <w:r w:rsidRPr="007D6488">
        <w:rPr>
          <w:rFonts w:ascii="Sylfaen" w:hAnsi="Sylfaen"/>
          <w:lang w:val="ka-GE"/>
        </w:rPr>
        <w:t xml:space="preserve"> </w:t>
      </w:r>
      <w:r w:rsidR="00057248" w:rsidRPr="007D6488">
        <w:rPr>
          <w:rFonts w:ascii="Sylfaen" w:hAnsi="Sylfaen"/>
          <w:lang w:val="ka-GE"/>
        </w:rPr>
        <w:t>უზრუნველყოს</w:t>
      </w:r>
      <w:r w:rsidR="00D64B35">
        <w:rPr>
          <w:rFonts w:ascii="Sylfaen" w:hAnsi="Sylfaen"/>
          <w:lang w:val="ka-GE"/>
        </w:rPr>
        <w:t xml:space="preserve"> </w:t>
      </w:r>
      <w:r w:rsidR="00D64B35" w:rsidRPr="007D6488">
        <w:rPr>
          <w:rFonts w:ascii="Sylfaen" w:hAnsi="Sylfaen"/>
          <w:lang w:val="ka-GE"/>
        </w:rPr>
        <w:t>ჯანდაცვის სფეროში</w:t>
      </w:r>
      <w:r w:rsidR="00057248" w:rsidRPr="007D6488">
        <w:rPr>
          <w:rFonts w:ascii="Sylfaen" w:hAnsi="Sylfaen"/>
          <w:lang w:val="ka-GE"/>
        </w:rPr>
        <w:t xml:space="preserve">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w:t>
      </w:r>
      <w:r w:rsidR="00057248" w:rsidRPr="007D6488">
        <w:rPr>
          <w:rFonts w:ascii="Sylfaen" w:hAnsi="Sylfaen"/>
          <w:lang w:val="ka-GE"/>
        </w:rPr>
        <w:t xml:space="preserve"> </w:t>
      </w:r>
      <w:r w:rsidR="00082831">
        <w:rPr>
          <w:rFonts w:ascii="Sylfaen" w:hAnsi="Sylfaen"/>
          <w:lang w:val="ka-GE"/>
        </w:rPr>
        <w:t>შეზღუდული რესურსის ეფექტიანი გამოყენების</w:t>
      </w:r>
      <w:r w:rsidR="00D64B35">
        <w:rPr>
          <w:rFonts w:ascii="Sylfaen" w:hAnsi="Sylfaen"/>
          <w:lang w:val="ka-GE"/>
        </w:rPr>
        <w:t>ათვის</w:t>
      </w:r>
      <w:r w:rsidR="00082831">
        <w:rPr>
          <w:rFonts w:ascii="Sylfaen" w:hAnsi="Sylfaen"/>
          <w:lang w:val="ka-GE"/>
        </w:rPr>
        <w:t xml:space="preserve">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w:t>
      </w:r>
      <w:r w:rsidR="00D64B35">
        <w:rPr>
          <w:rFonts w:ascii="Sylfaen" w:hAnsi="Sylfaen"/>
          <w:lang w:val="ka-GE"/>
        </w:rPr>
        <w:t>,</w:t>
      </w:r>
      <w:r w:rsidR="00082831">
        <w:rPr>
          <w:rFonts w:ascii="Sylfaen" w:hAnsi="Sylfaen"/>
          <w:lang w:val="ka-GE"/>
        </w:rPr>
        <w:t xml:space="preserve"> მედიკამენტების) თაობაზე მკაფიო განმარტებების და კრიტერიუმე</w:t>
      </w:r>
      <w:r w:rsidR="00D64B35">
        <w:rPr>
          <w:rFonts w:ascii="Sylfaen" w:hAnsi="Sylfaen"/>
          <w:lang w:val="ka-GE"/>
        </w:rPr>
        <w:t>ბ</w:t>
      </w:r>
      <w:r w:rsidR="00082831">
        <w:rPr>
          <w:rFonts w:ascii="Sylfaen" w:hAnsi="Sylfaen"/>
          <w:lang w:val="ka-GE"/>
        </w:rPr>
        <w:t>ის არსებობ</w:t>
      </w:r>
      <w:r w:rsidR="00D64B35">
        <w:rPr>
          <w:rFonts w:ascii="Sylfaen" w:hAnsi="Sylfaen"/>
          <w:lang w:val="ka-GE"/>
        </w:rPr>
        <w:t>ა</w:t>
      </w:r>
      <w:r w:rsidR="00082831">
        <w:rPr>
          <w:rFonts w:ascii="Sylfaen" w:hAnsi="Sylfaen"/>
          <w:lang w:val="ka-GE"/>
        </w:rPr>
        <w:t xml:space="preserve"> უზრუნველყოფს მოსახლეობის მხრიდან ჯანმრთელობის დაცვის პრიორიტეტების უკეთესად აღქმას და ხელს უწყობს საყოველთ</w:t>
      </w:r>
      <w:r w:rsidR="00D64B35">
        <w:rPr>
          <w:rFonts w:ascii="Sylfaen" w:hAnsi="Sylfaen"/>
          <w:lang w:val="ka-GE"/>
        </w:rPr>
        <w:t>ა</w:t>
      </w:r>
      <w:r w:rsidR="00082831">
        <w:rPr>
          <w:rFonts w:ascii="Sylfaen" w:hAnsi="Sylfaen"/>
          <w:lang w:val="ka-GE"/>
        </w:rPr>
        <w:t xml:space="preserve">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0D5DBA70" w:rsidR="001D5525" w:rsidRPr="00C110A9" w:rsidRDefault="00B63503" w:rsidP="00A244AB">
            <w:pPr>
              <w:jc w:val="center"/>
              <w:rPr>
                <w:rFonts w:ascii="Sylfaen" w:hAnsi="Sylfaen"/>
                <w:sz w:val="22"/>
                <w:szCs w:val="22"/>
                <w:lang w:val="ka-GE"/>
              </w:rPr>
            </w:pPr>
            <w:r w:rsidRPr="00B63503">
              <w:rPr>
                <w:rFonts w:ascii="Sylfaen" w:hAnsi="Sylfaen"/>
                <w:sz w:val="22"/>
                <w:szCs w:val="22"/>
                <w:lang w:val="ka-GE"/>
              </w:rPr>
              <w:t>ჯანდაცვის სერვისებით სარგებლობისა და დანახარჯების</w:t>
            </w:r>
            <w:r w:rsidRPr="00CB06F0">
              <w:rPr>
                <w:rFonts w:ascii="Sylfaen" w:hAnsi="Sylfaen"/>
                <w:sz w:val="16"/>
                <w:szCs w:val="16"/>
                <w:lang w:val="ka-GE"/>
              </w:rPr>
              <w:t xml:space="preserve"> </w:t>
            </w:r>
            <w:r w:rsidR="001D5525"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19" w:name="_Toc8112523"/>
      <w:r w:rsidRPr="007D6488">
        <w:rPr>
          <w:rFonts w:ascii="Sylfaen" w:hAnsi="Sylfaen"/>
          <w:bCs w:val="0"/>
          <w:i w:val="0"/>
          <w:sz w:val="24"/>
          <w:szCs w:val="22"/>
          <w:lang w:val="en-GB"/>
        </w:rPr>
        <w:lastRenderedPageBreak/>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19"/>
      <w:r w:rsidR="00776F6B" w:rsidRPr="007D6488">
        <w:rPr>
          <w:rFonts w:ascii="Sylfaen" w:hAnsi="Sylfaen"/>
          <w:bCs w:val="0"/>
          <w:i w:val="0"/>
          <w:sz w:val="24"/>
          <w:szCs w:val="22"/>
          <w:lang w:val="en-GB"/>
        </w:rPr>
        <w:t xml:space="preserve"> </w:t>
      </w:r>
    </w:p>
    <w:p w14:paraId="1D8F588A" w14:textId="5FF2789E"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w:t>
      </w:r>
      <w:r w:rsidR="004D5108">
        <w:rPr>
          <w:rFonts w:ascii="Sylfaen" w:eastAsia="Calibri" w:hAnsi="Sylfaen" w:cs="Calibri"/>
          <w:szCs w:val="22"/>
          <w:lang w:val="ka-GE"/>
        </w:rPr>
        <w:t>,</w:t>
      </w:r>
      <w:r w:rsidRPr="007D6488">
        <w:rPr>
          <w:rFonts w:ascii="Sylfaen" w:eastAsia="Calibri" w:hAnsi="Sylfaen" w:cs="Calibri"/>
          <w:szCs w:val="22"/>
          <w:lang w:val="ka-GE"/>
        </w:rPr>
        <w:t xml:space="preserve">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782D1314"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w:t>
      </w:r>
      <w:r w:rsidR="004D5108">
        <w:rPr>
          <w:rFonts w:ascii="Sylfaen" w:eastAsia="Calibri" w:hAnsi="Sylfaen" w:cs="Calibri"/>
          <w:szCs w:val="22"/>
          <w:lang w:val="ka-GE"/>
        </w:rPr>
        <w:t>,</w:t>
      </w:r>
      <w:r w:rsidRPr="007D6488">
        <w:rPr>
          <w:rFonts w:ascii="Sylfaen" w:eastAsia="Calibri" w:hAnsi="Sylfaen" w:cs="Calibri"/>
          <w:szCs w:val="22"/>
          <w:lang w:val="ka-GE"/>
        </w:rPr>
        <w:t xml:space="preserve">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განსაკუთრებული ყურადღება დაეთმობა სოფლად პირველადი ჯანდაცვის მოდელის გაძლიერებას. ისევე</w:t>
      </w:r>
      <w:r w:rsidR="004D5108">
        <w:rPr>
          <w:rFonts w:ascii="Sylfaen" w:eastAsia="Calibri" w:hAnsi="Sylfaen" w:cs="Calibri"/>
          <w:szCs w:val="22"/>
          <w:lang w:val="ka-GE"/>
        </w:rPr>
        <w:t>,</w:t>
      </w:r>
      <w:r w:rsidR="00023200">
        <w:rPr>
          <w:rFonts w:ascii="Sylfaen" w:eastAsia="Calibri" w:hAnsi="Sylfaen" w:cs="Calibri"/>
          <w:szCs w:val="22"/>
          <w:lang w:val="ka-GE"/>
        </w:rPr>
        <w:t xml:space="preserve">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44A8A875"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w:t>
      </w:r>
      <w:r w:rsidR="007971AB">
        <w:rPr>
          <w:rFonts w:ascii="Sylfaen" w:eastAsia="Calibri" w:hAnsi="Sylfaen" w:cs="Calibri"/>
          <w:szCs w:val="22"/>
          <w:lang w:val="ka-GE"/>
        </w:rPr>
        <w:t>ტ</w:t>
      </w:r>
      <w:r>
        <w:rPr>
          <w:rFonts w:ascii="Sylfaen" w:eastAsia="Calibri" w:hAnsi="Sylfaen" w:cs="Calibri"/>
          <w:szCs w:val="22"/>
          <w:lang w:val="ka-GE"/>
        </w:rPr>
        <w:t>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851"/>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lastRenderedPageBreak/>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0"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0"/>
    </w:p>
    <w:p w14:paraId="14D6F786" w14:textId="51D7CB95"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w:t>
      </w:r>
      <w:r w:rsidR="00C902E1">
        <w:rPr>
          <w:rFonts w:ascii="Sylfaen" w:hAnsi="Sylfaen"/>
          <w:szCs w:val="22"/>
          <w:lang w:val="ka-GE"/>
        </w:rPr>
        <w:t>,</w:t>
      </w:r>
      <w:r w:rsidRPr="007D6488">
        <w:rPr>
          <w:rFonts w:ascii="Sylfaen" w:hAnsi="Sylfaen"/>
          <w:szCs w:val="22"/>
          <w:lang w:val="ka-GE"/>
        </w:rPr>
        <w:t xml:space="preserve">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C902E1">
        <w:rPr>
          <w:rFonts w:ascii="Sylfaen" w:hAnsi="Sylfaen"/>
          <w:szCs w:val="22"/>
          <w:lang w:val="ka-GE"/>
        </w:rPr>
        <w:t>,</w:t>
      </w:r>
      <w:r w:rsidR="00683A31">
        <w:rPr>
          <w:rFonts w:ascii="Sylfaen" w:hAnsi="Sylfaen"/>
          <w:szCs w:val="22"/>
          <w:lang w:val="ka-GE"/>
        </w:rPr>
        <w:t xml:space="preserve"> შესაძლებელია</w:t>
      </w:r>
      <w:r w:rsidR="00C902E1">
        <w:rPr>
          <w:rFonts w:ascii="Sylfaen" w:hAnsi="Sylfaen"/>
          <w:szCs w:val="22"/>
          <w:lang w:val="ka-GE"/>
        </w:rPr>
        <w:t>,</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5BDE9D9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w:t>
      </w:r>
      <w:r w:rsidR="00CA239C">
        <w:rPr>
          <w:rFonts w:ascii="Sylfaen" w:hAnsi="Sylfaen"/>
          <w:szCs w:val="22"/>
          <w:lang w:val="ka-GE"/>
        </w:rPr>
        <w:t>,</w:t>
      </w:r>
      <w:r w:rsidR="00C5275D" w:rsidRPr="007D6488">
        <w:rPr>
          <w:rFonts w:ascii="Sylfaen" w:hAnsi="Sylfaen"/>
          <w:szCs w:val="22"/>
          <w:lang w:val="ka-GE"/>
        </w:rPr>
        <w:t xml:space="preserve">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15536FE4" w:rsidR="00B06620" w:rsidRPr="007D6488" w:rsidRDefault="00CA239C" w:rsidP="00B06620">
      <w:pPr>
        <w:pStyle w:val="ListParagraph"/>
        <w:numPr>
          <w:ilvl w:val="0"/>
          <w:numId w:val="21"/>
        </w:numPr>
        <w:spacing w:line="276" w:lineRule="auto"/>
        <w:jc w:val="both"/>
        <w:rPr>
          <w:rFonts w:ascii="Sylfaen" w:hAnsi="Sylfaen"/>
          <w:szCs w:val="22"/>
          <w:lang w:val="en-GB"/>
        </w:rPr>
      </w:pPr>
      <w:r>
        <w:rPr>
          <w:rFonts w:ascii="Sylfaen" w:hAnsi="Sylfaen" w:cs="Sylfaen"/>
          <w:szCs w:val="22"/>
          <w:lang w:val="ka-GE"/>
        </w:rPr>
        <w:t xml:space="preserve">სერვისის მიმწოდებელთა </w:t>
      </w:r>
      <w:r w:rsidR="00B06620" w:rsidRPr="007D6488">
        <w:rPr>
          <w:rFonts w:ascii="Sylfaen" w:hAnsi="Sylfaen" w:cs="Sylfaen"/>
          <w:szCs w:val="22"/>
          <w:lang w:val="ka-GE"/>
        </w:rPr>
        <w:t>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850"/>
        <w:gridCol w:w="993"/>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3A23F261" w14:textId="20B56F8F" w:rsidR="009958D3" w:rsidRPr="009958D3" w:rsidRDefault="001D5525" w:rsidP="009958D3">
            <w:pPr>
              <w:rPr>
                <w:rFonts w:ascii="Sylfaen" w:hAnsi="Sylfaen"/>
                <w:sz w:val="22"/>
                <w:szCs w:val="20"/>
              </w:rPr>
            </w:pPr>
            <w:r w:rsidRPr="009958D3">
              <w:rPr>
                <w:rFonts w:ascii="Sylfaen" w:hAnsi="Sylfaen"/>
                <w:sz w:val="22"/>
                <w:szCs w:val="20"/>
                <w:lang w:val="ka-GE"/>
              </w:rPr>
              <w:t>სააგენტოს მიერ მ</w:t>
            </w:r>
            <w:r w:rsidR="00AB1DA6" w:rsidRPr="009958D3">
              <w:rPr>
                <w:rFonts w:ascii="Sylfaen" w:hAnsi="Sylfaen"/>
                <w:sz w:val="22"/>
                <w:szCs w:val="20"/>
                <w:lang w:val="ka-GE"/>
              </w:rPr>
              <w:t>რავალ</w:t>
            </w:r>
            <w:r w:rsidRPr="009958D3">
              <w:rPr>
                <w:rFonts w:ascii="Sylfaen" w:hAnsi="Sylfaen"/>
                <w:sz w:val="22"/>
                <w:szCs w:val="20"/>
                <w:lang w:val="ka-GE"/>
              </w:rPr>
              <w:t>პროფილური კლინიკებიდან შესყიდული მომსახურებების წილი (</w:t>
            </w:r>
            <w:r w:rsidR="009958D3" w:rsidRPr="009958D3">
              <w:rPr>
                <w:rFonts w:ascii="Sylfaen" w:hAnsi="Sylfaen"/>
                <w:sz w:val="22"/>
                <w:szCs w:val="20"/>
                <w:lang w:val="ka-GE"/>
              </w:rPr>
              <w:t xml:space="preserve">მხოლოდ </w:t>
            </w:r>
            <w:r w:rsidR="009958D3" w:rsidRPr="009958D3">
              <w:rPr>
                <w:sz w:val="22"/>
                <w:szCs w:val="20"/>
              </w:rPr>
              <w:t xml:space="preserve">AC - </w:t>
            </w:r>
            <w:r w:rsidR="009958D3" w:rsidRPr="009958D3">
              <w:rPr>
                <w:rFonts w:ascii="Sylfaen" w:hAnsi="Sylfaen"/>
                <w:sz w:val="22"/>
                <w:szCs w:val="20"/>
              </w:rPr>
              <w:t>მრავალპროფილიანი სტაციონარი</w:t>
            </w:r>
          </w:p>
          <w:p w14:paraId="20637582" w14:textId="32B49949" w:rsidR="001D5525" w:rsidRPr="009958D3" w:rsidRDefault="009958D3" w:rsidP="009958D3">
            <w:pPr>
              <w:rPr>
                <w:sz w:val="22"/>
                <w:szCs w:val="20"/>
              </w:rPr>
            </w:pPr>
            <w:r w:rsidRPr="009958D3">
              <w:rPr>
                <w:rFonts w:ascii="Sylfaen" w:hAnsi="Sylfaen"/>
                <w:sz w:val="22"/>
                <w:szCs w:val="20"/>
              </w:rPr>
              <w:t>AD - რეფერალური მრავალპროფილიანი სტაციონარი</w:t>
            </w:r>
          </w:p>
        </w:tc>
        <w:tc>
          <w:tcPr>
            <w:tcW w:w="1608" w:type="dxa"/>
          </w:tcPr>
          <w:p w14:paraId="229FB21A"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0%</w:t>
            </w:r>
          </w:p>
        </w:tc>
        <w:tc>
          <w:tcPr>
            <w:tcW w:w="2900" w:type="dxa"/>
            <w:gridSpan w:val="3"/>
          </w:tcPr>
          <w:p w14:paraId="638059EC" w14:textId="77777777" w:rsidR="001D5525" w:rsidRPr="009958D3" w:rsidRDefault="001D5525" w:rsidP="00BC458D">
            <w:pPr>
              <w:spacing w:line="276" w:lineRule="auto"/>
              <w:rPr>
                <w:rFonts w:ascii="Sylfaen" w:hAnsi="Sylfaen"/>
                <w:sz w:val="22"/>
                <w:szCs w:val="20"/>
                <w:lang w:val="ka-GE"/>
              </w:rPr>
            </w:pPr>
            <w:r w:rsidRPr="009958D3">
              <w:rPr>
                <w:rFonts w:ascii="Sylfaen" w:hAnsi="Sylfaen"/>
                <w:sz w:val="22"/>
                <w:szCs w:val="20"/>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9958D3" w:rsidRDefault="001D5525" w:rsidP="00BC458D">
            <w:pPr>
              <w:spacing w:line="276" w:lineRule="auto"/>
              <w:jc w:val="both"/>
              <w:rPr>
                <w:rFonts w:ascii="Sylfaen" w:hAnsi="Sylfaen"/>
                <w:sz w:val="22"/>
                <w:szCs w:val="20"/>
                <w:lang w:val="ka-GE"/>
              </w:rPr>
            </w:pPr>
            <w:r w:rsidRPr="009958D3">
              <w:rPr>
                <w:rFonts w:ascii="Sylfaen" w:hAnsi="Sylfaen"/>
                <w:sz w:val="22"/>
                <w:szCs w:val="20"/>
                <w:lang w:val="ka-GE"/>
              </w:rPr>
              <w:t>საწოლების დატვირთვის მაჩვენებელი</w:t>
            </w:r>
            <w:r w:rsidR="002A2F46" w:rsidRPr="009958D3">
              <w:rPr>
                <w:rStyle w:val="FootnoteReference"/>
                <w:rFonts w:ascii="Sylfaen" w:hAnsi="Sylfaen"/>
                <w:sz w:val="22"/>
                <w:szCs w:val="20"/>
                <w:lang w:val="ka-GE"/>
              </w:rPr>
              <w:footnoteReference w:id="32"/>
            </w:r>
          </w:p>
        </w:tc>
        <w:tc>
          <w:tcPr>
            <w:tcW w:w="1608" w:type="dxa"/>
          </w:tcPr>
          <w:p w14:paraId="28FF1876"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52%</w:t>
            </w:r>
          </w:p>
        </w:tc>
        <w:tc>
          <w:tcPr>
            <w:tcW w:w="1057" w:type="dxa"/>
          </w:tcPr>
          <w:p w14:paraId="5D5A2BBA"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56%</w:t>
            </w:r>
          </w:p>
        </w:tc>
        <w:tc>
          <w:tcPr>
            <w:tcW w:w="850" w:type="dxa"/>
          </w:tcPr>
          <w:p w14:paraId="674C55A3"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57%</w:t>
            </w:r>
          </w:p>
        </w:tc>
        <w:tc>
          <w:tcPr>
            <w:tcW w:w="993" w:type="dxa"/>
          </w:tcPr>
          <w:p w14:paraId="767E2A99" w14:textId="77777777" w:rsidR="001D5525" w:rsidRPr="009958D3" w:rsidRDefault="001D5525" w:rsidP="00BC458D">
            <w:pPr>
              <w:spacing w:line="276" w:lineRule="auto"/>
              <w:jc w:val="both"/>
              <w:rPr>
                <w:rFonts w:ascii="Sylfaen" w:hAnsi="Sylfaen"/>
                <w:sz w:val="22"/>
                <w:szCs w:val="20"/>
              </w:rPr>
            </w:pPr>
            <w:r w:rsidRPr="009958D3">
              <w:rPr>
                <w:rFonts w:ascii="Sylfaen" w:hAnsi="Sylfaen"/>
                <w:color w:val="000000" w:themeColor="text1"/>
                <w:sz w:val="22"/>
                <w:szCs w:val="20"/>
              </w:rPr>
              <w:t>57%</w:t>
            </w:r>
          </w:p>
        </w:tc>
      </w:tr>
      <w:tr w:rsidR="001D5525" w:rsidRPr="00C110A9" w14:paraId="3DBABFF1" w14:textId="77777777" w:rsidTr="00E31405">
        <w:tc>
          <w:tcPr>
            <w:tcW w:w="4531" w:type="dxa"/>
          </w:tcPr>
          <w:p w14:paraId="50406626" w14:textId="3BFAEFE2" w:rsidR="001D5525" w:rsidRPr="009958D3" w:rsidRDefault="001D5525" w:rsidP="00BC458D">
            <w:pPr>
              <w:spacing w:line="276" w:lineRule="auto"/>
              <w:jc w:val="both"/>
              <w:rPr>
                <w:rFonts w:ascii="Sylfaen" w:hAnsi="Sylfaen"/>
                <w:sz w:val="22"/>
                <w:szCs w:val="20"/>
                <w:lang w:val="ka-GE"/>
              </w:rPr>
            </w:pPr>
            <w:r w:rsidRPr="009958D3">
              <w:rPr>
                <w:rFonts w:ascii="Sylfaen" w:hAnsi="Sylfaen"/>
                <w:sz w:val="22"/>
                <w:szCs w:val="20"/>
                <w:lang w:val="ka-GE"/>
              </w:rPr>
              <w:t>კლინიკების რაოდენობა</w:t>
            </w:r>
            <w:r w:rsidR="0050117C" w:rsidRPr="009958D3">
              <w:rPr>
                <w:rFonts w:ascii="Sylfaen" w:hAnsi="Sylfaen"/>
                <w:sz w:val="22"/>
                <w:szCs w:val="20"/>
                <w:lang w:val="ka-GE"/>
              </w:rPr>
              <w:t xml:space="preserve"> შემდეგი</w:t>
            </w:r>
            <w:r w:rsidRPr="009958D3">
              <w:rPr>
                <w:rFonts w:ascii="Sylfaen" w:hAnsi="Sylfaen"/>
                <w:sz w:val="22"/>
                <w:szCs w:val="20"/>
                <w:lang w:val="ka-GE"/>
              </w:rPr>
              <w:t xml:space="preserve">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9958D3" w:rsidRDefault="001D5525" w:rsidP="00BC458D">
            <w:pPr>
              <w:spacing w:line="276" w:lineRule="auto"/>
              <w:jc w:val="both"/>
              <w:rPr>
                <w:rFonts w:ascii="Sylfaen" w:hAnsi="Sylfaen"/>
                <w:color w:val="000000" w:themeColor="text1"/>
                <w:sz w:val="22"/>
                <w:szCs w:val="20"/>
              </w:rPr>
            </w:pPr>
            <w:r w:rsidRPr="009958D3">
              <w:rPr>
                <w:rFonts w:ascii="Sylfaen" w:hAnsi="Sylfaen"/>
                <w:color w:val="000000" w:themeColor="text1"/>
                <w:sz w:val="22"/>
                <w:szCs w:val="20"/>
              </w:rPr>
              <w:t>0-49 - 177</w:t>
            </w:r>
          </w:p>
          <w:p w14:paraId="598D3EAC" w14:textId="77777777" w:rsidR="001D5525" w:rsidRPr="009958D3" w:rsidRDefault="001D5525" w:rsidP="00BC458D">
            <w:pPr>
              <w:spacing w:line="276" w:lineRule="auto"/>
              <w:jc w:val="both"/>
              <w:rPr>
                <w:rFonts w:ascii="Sylfaen" w:hAnsi="Sylfaen"/>
                <w:color w:val="000000" w:themeColor="text1"/>
                <w:sz w:val="22"/>
                <w:szCs w:val="20"/>
              </w:rPr>
            </w:pPr>
            <w:r w:rsidRPr="009958D3">
              <w:rPr>
                <w:rFonts w:ascii="Sylfaen" w:hAnsi="Sylfaen"/>
                <w:color w:val="000000" w:themeColor="text1"/>
                <w:sz w:val="22"/>
                <w:szCs w:val="20"/>
              </w:rPr>
              <w:t>50-99 – 49</w:t>
            </w:r>
          </w:p>
          <w:p w14:paraId="1AAA34CA" w14:textId="77777777" w:rsidR="001D5525" w:rsidRPr="009958D3" w:rsidRDefault="001D5525" w:rsidP="00BC458D">
            <w:pPr>
              <w:spacing w:line="276" w:lineRule="auto"/>
              <w:jc w:val="both"/>
              <w:rPr>
                <w:rFonts w:ascii="Sylfaen" w:hAnsi="Sylfaen"/>
                <w:color w:val="000000" w:themeColor="text1"/>
                <w:sz w:val="22"/>
                <w:szCs w:val="20"/>
                <w:lang w:val="ka-GE"/>
              </w:rPr>
            </w:pPr>
            <w:r w:rsidRPr="009958D3">
              <w:rPr>
                <w:rFonts w:ascii="Sylfaen" w:hAnsi="Sylfaen"/>
                <w:color w:val="000000" w:themeColor="text1"/>
                <w:sz w:val="22"/>
                <w:szCs w:val="20"/>
              </w:rPr>
              <w:t>100 &gt; - 42</w:t>
            </w:r>
          </w:p>
        </w:tc>
        <w:tc>
          <w:tcPr>
            <w:tcW w:w="2900" w:type="dxa"/>
            <w:gridSpan w:val="3"/>
          </w:tcPr>
          <w:p w14:paraId="0EB7D6DE" w14:textId="78D44FA8" w:rsidR="001D5525" w:rsidRPr="009958D3" w:rsidRDefault="001D5525" w:rsidP="00BC458D">
            <w:pPr>
              <w:spacing w:line="276" w:lineRule="auto"/>
              <w:rPr>
                <w:rFonts w:ascii="Sylfaen" w:hAnsi="Sylfaen"/>
                <w:sz w:val="22"/>
                <w:szCs w:val="20"/>
                <w:lang w:val="ka-GE"/>
              </w:rPr>
            </w:pPr>
            <w:r w:rsidRPr="009958D3">
              <w:rPr>
                <w:rFonts w:ascii="Sylfaen" w:hAnsi="Sylfaen"/>
                <w:sz w:val="22"/>
                <w:szCs w:val="20"/>
                <w:lang w:val="ka-GE"/>
              </w:rPr>
              <w:t xml:space="preserve">დაზუსტდება ჰოსპიტალური სექტორის განვითარების პოლიტიკის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65352F2D" w:rsidR="00057248"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21"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1"/>
    </w:p>
    <w:p w14:paraId="445FB993" w14:textId="77777777" w:rsidR="0050117C" w:rsidRPr="0050117C" w:rsidRDefault="0050117C" w:rsidP="004E6153">
      <w:pPr>
        <w:rPr>
          <w:rFonts w:ascii="Sylfaen" w:hAnsi="Sylfaen"/>
          <w:lang w:val="ka-GE"/>
        </w:rPr>
      </w:pPr>
    </w:p>
    <w:p w14:paraId="217A7AF6" w14:textId="7DF03BED"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სამინისტრო და სააგენტო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33C61BBE"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ტრების თაობაზე</w:t>
      </w:r>
      <w:r w:rsidR="0050117C">
        <w:rPr>
          <w:rFonts w:ascii="Sylfaen" w:hAnsi="Sylfaen" w:cs="Sylfaen"/>
          <w:szCs w:val="22"/>
          <w:lang w:val="ka-GE"/>
        </w:rPr>
        <w:t>.</w:t>
      </w:r>
      <w:r w:rsidRPr="00683A31">
        <w:rPr>
          <w:rFonts w:ascii="Sylfaen" w:hAnsi="Sylfaen" w:cs="Sylfaen"/>
          <w:szCs w:val="22"/>
          <w:lang w:val="ka-GE"/>
        </w:rPr>
        <w:t xml:space="preserve">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531"/>
        <w:gridCol w:w="1608"/>
        <w:gridCol w:w="1057"/>
        <w:gridCol w:w="850"/>
        <w:gridCol w:w="1134"/>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5C34ECB7" w:rsidR="001D5525" w:rsidRPr="00C110A9" w:rsidRDefault="0050117C" w:rsidP="00BC458D">
            <w:pPr>
              <w:spacing w:line="276" w:lineRule="auto"/>
              <w:jc w:val="both"/>
              <w:rPr>
                <w:rFonts w:ascii="Sylfaen" w:hAnsi="Sylfaen"/>
                <w:sz w:val="22"/>
                <w:szCs w:val="22"/>
                <w:lang w:val="ka-GE"/>
              </w:rPr>
            </w:pPr>
            <w:r>
              <w:rPr>
                <w:rFonts w:ascii="Sylfaen" w:hAnsi="Sylfaen"/>
                <w:sz w:val="22"/>
                <w:szCs w:val="22"/>
                <w:lang w:val="ka-GE"/>
              </w:rPr>
              <w:t xml:space="preserve">სერვისის მიმწოდებელთა </w:t>
            </w:r>
            <w:r w:rsidR="00F407D5">
              <w:rPr>
                <w:rFonts w:ascii="Sylfaen" w:hAnsi="Sylfaen"/>
                <w:sz w:val="22"/>
                <w:szCs w:val="22"/>
                <w:lang w:val="ka-GE"/>
              </w:rPr>
              <w:t xml:space="preserve">მიერ </w:t>
            </w:r>
            <w:r w:rsidR="00F407D5">
              <w:rPr>
                <w:rFonts w:ascii="Sylfaen" w:hAnsi="Sylfaen"/>
                <w:sz w:val="22"/>
                <w:szCs w:val="22"/>
                <w:lang w:val="ka-GE"/>
              </w:rPr>
              <w:lastRenderedPageBreak/>
              <w:t>წარმოდგენილი საანგარიშგებო დოკუმენტაციის</w:t>
            </w:r>
            <w:r w:rsidR="001D5525" w:rsidRPr="00EB2424">
              <w:rPr>
                <w:rFonts w:ascii="Sylfaen" w:hAnsi="Sylfaen"/>
                <w:sz w:val="22"/>
                <w:szCs w:val="22"/>
                <w:lang w:val="ka-GE"/>
              </w:rPr>
              <w:t xml:space="preserve"> წილი, რომელიც არ ანაზღაურდა </w:t>
            </w:r>
            <w:r w:rsidR="001D5525">
              <w:rPr>
                <w:rFonts w:ascii="Sylfaen" w:hAnsi="Sylfaen"/>
                <w:sz w:val="22"/>
                <w:szCs w:val="22"/>
                <w:lang w:val="ka-GE"/>
              </w:rPr>
              <w:t xml:space="preserve">სსიპ </w:t>
            </w:r>
            <w:r w:rsidR="001D5525" w:rsidRPr="00EB2424">
              <w:rPr>
                <w:rFonts w:ascii="Sylfaen" w:hAnsi="Sylfaen"/>
                <w:sz w:val="22"/>
                <w:szCs w:val="22"/>
                <w:lang w:val="ka-GE"/>
              </w:rPr>
              <w:t>სოციალური მომსახურების სააგენტოს მიერ</w:t>
            </w:r>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lastRenderedPageBreak/>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lastRenderedPageBreak/>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2"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2"/>
    </w:p>
    <w:p w14:paraId="7FE3171D" w14:textId="4E210B02"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w:t>
      </w:r>
      <w:r w:rsidR="00D6584A">
        <w:rPr>
          <w:rFonts w:ascii="Sylfaen" w:hAnsi="Sylfaen"/>
          <w:iCs/>
          <w:color w:val="000000" w:themeColor="text1"/>
          <w:szCs w:val="22"/>
          <w:lang w:val="ka-GE"/>
        </w:rPr>
        <w:t>სახის</w:t>
      </w:r>
      <w:r w:rsidRPr="007D6488">
        <w:rPr>
          <w:rFonts w:ascii="Sylfaen" w:hAnsi="Sylfaen"/>
          <w:iCs/>
          <w:color w:val="000000" w:themeColor="text1"/>
          <w:szCs w:val="22"/>
          <w:lang w:val="ka-GE"/>
        </w:rPr>
        <w:t xml:space="preserve">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3B12380C"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 სააგენტოს</w:t>
      </w:r>
      <w:r w:rsidR="00D6584A">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0D600F7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w:t>
            </w:r>
            <w:r w:rsidR="00061F80">
              <w:rPr>
                <w:rFonts w:ascii="Sylfaen" w:hAnsi="Sylfaen"/>
                <w:b/>
                <w:sz w:val="20"/>
                <w:szCs w:val="20"/>
                <w:lang w:val="ka-GE"/>
              </w:rPr>
              <w:t>ბაზისო მონაცემები, 2018</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1224CCD4" w:rsidR="001D5525" w:rsidRPr="00C110A9" w:rsidRDefault="00061F80" w:rsidP="00BC458D">
            <w:pPr>
              <w:spacing w:line="276" w:lineRule="auto"/>
              <w:jc w:val="both"/>
              <w:rPr>
                <w:rFonts w:ascii="Sylfaen" w:hAnsi="Sylfaen"/>
                <w:sz w:val="22"/>
                <w:szCs w:val="22"/>
              </w:rPr>
            </w:pPr>
            <w:r>
              <w:rPr>
                <w:rFonts w:ascii="Sylfaen" w:hAnsi="Sylfaen"/>
                <w:sz w:val="22"/>
                <w:szCs w:val="22"/>
              </w:rPr>
              <w:t xml:space="preserve">0.007% </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3" w:name="_Toc8112527"/>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3"/>
    </w:p>
    <w:p w14:paraId="62D8DC70" w14:textId="51BCE744"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D616E6">
        <w:rPr>
          <w:rFonts w:ascii="Sylfaen" w:hAnsi="Sylfaen" w:cs="Sylfaen"/>
          <w:szCs w:val="22"/>
          <w:lang w:val="ka-GE"/>
        </w:rPr>
        <w:t>,</w:t>
      </w:r>
      <w:r w:rsidR="00F42F8B">
        <w:rPr>
          <w:rFonts w:ascii="Sylfaen" w:hAnsi="Sylfaen" w:cs="Sylfaen"/>
          <w:szCs w:val="22"/>
          <w:lang w:val="ka-GE"/>
        </w:rPr>
        <w:t xml:space="preserve"> </w:t>
      </w:r>
      <w:r w:rsidR="00D616E6" w:rsidRPr="007D6488">
        <w:rPr>
          <w:rFonts w:ascii="Sylfaen" w:hAnsi="Sylfaen"/>
          <w:szCs w:val="22"/>
          <w:lang w:val="ka-GE"/>
        </w:rPr>
        <w:t>ინფორმაციულ</w:t>
      </w:r>
      <w:r w:rsidR="00D616E6">
        <w:rPr>
          <w:rFonts w:ascii="Sylfaen" w:hAnsi="Sylfaen"/>
          <w:szCs w:val="22"/>
          <w:lang w:val="ka-GE"/>
        </w:rPr>
        <w:t xml:space="preserve">ი თვალსაზრისით,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64B032C0"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გაზარდოს ჯანდაცვის სისტემის ეფექტიანობა</w:t>
      </w:r>
      <w:r w:rsidR="00D616E6">
        <w:rPr>
          <w:rFonts w:ascii="Sylfaen" w:hAnsi="Sylfaen"/>
          <w:szCs w:val="22"/>
          <w:lang w:val="ka-GE"/>
        </w:rPr>
        <w:t>,</w:t>
      </w:r>
      <w:r w:rsidR="005E26AE" w:rsidRPr="007D6488">
        <w:rPr>
          <w:rFonts w:ascii="Sylfaen" w:hAnsi="Sylfaen"/>
          <w:szCs w:val="22"/>
          <w:lang w:val="ka-GE"/>
        </w:rPr>
        <w:t xml:space="preserve">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992"/>
      </w:tblGrid>
      <w:tr w:rsidR="001D5525" w:rsidRPr="00C110A9" w14:paraId="1A99D865" w14:textId="77777777" w:rsidTr="00E31405">
        <w:trPr>
          <w:trHeight w:val="312"/>
        </w:trPr>
        <w:tc>
          <w:tcPr>
            <w:tcW w:w="4531" w:type="dxa"/>
            <w:vMerge w:val="restart"/>
            <w:vAlign w:val="center"/>
          </w:tcPr>
          <w:p w14:paraId="48C32153" w14:textId="5697E696" w:rsidR="001D5525" w:rsidRPr="00C110A9" w:rsidRDefault="00B65674" w:rsidP="002A2F46">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0FE137DB" w:rsidR="001D5525" w:rsidRPr="002A2F46" w:rsidRDefault="002A2F46" w:rsidP="006B316B">
            <w:pPr>
              <w:jc w:val="both"/>
              <w:rPr>
                <w:rFonts w:ascii="Sylfaen" w:hAnsi="Sylfaen"/>
                <w:sz w:val="22"/>
                <w:szCs w:val="22"/>
                <w:lang w:val="ka-GE"/>
              </w:rPr>
            </w:pPr>
            <w:r w:rsidRPr="002A2F46">
              <w:rPr>
                <w:rFonts w:ascii="Sylfaen" w:hAnsi="Sylfaen"/>
                <w:sz w:val="22"/>
                <w:szCs w:val="22"/>
                <w:lang w:val="ka-GE"/>
              </w:rPr>
              <w:t>ს</w:t>
            </w:r>
            <w:r>
              <w:rPr>
                <w:rFonts w:ascii="Sylfaen" w:hAnsi="Sylfaen"/>
                <w:sz w:val="22"/>
                <w:szCs w:val="22"/>
                <w:lang w:val="ka-GE"/>
              </w:rPr>
              <w:t xml:space="preserve">აკეისრო კვეთების რაოდენობებს შორის განსხვავება </w:t>
            </w:r>
            <w:r w:rsidR="006B316B">
              <w:rPr>
                <w:rFonts w:ascii="Sylfaen" w:hAnsi="Sylfaen"/>
                <w:sz w:val="22"/>
                <w:szCs w:val="22"/>
                <w:lang w:val="ka-GE"/>
              </w:rPr>
              <w:t xml:space="preserve">სსიპ </w:t>
            </w:r>
            <w:r>
              <w:rPr>
                <w:rFonts w:ascii="Sylfaen" w:hAnsi="Sylfaen"/>
                <w:sz w:val="22"/>
                <w:szCs w:val="22"/>
                <w:lang w:val="ka-GE"/>
              </w:rPr>
              <w:t xml:space="preserve">დაავადებათა კონტროლისა და საზოგადოებრივი ჯანმრთელობის ეროვნული ცენტრის და </w:t>
            </w:r>
            <w:r w:rsidR="006B316B">
              <w:rPr>
                <w:rFonts w:ascii="Sylfaen" w:hAnsi="Sylfaen"/>
                <w:sz w:val="22"/>
                <w:szCs w:val="22"/>
                <w:lang w:val="ka-GE"/>
              </w:rPr>
              <w:t xml:space="preserve">სსიპ </w:t>
            </w:r>
            <w:r>
              <w:rPr>
                <w:rFonts w:ascii="Sylfaen" w:hAnsi="Sylfaen"/>
                <w:sz w:val="22"/>
                <w:szCs w:val="22"/>
                <w:lang w:val="ka-GE"/>
              </w:rPr>
              <w:t xml:space="preserve">სოციალური 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r w:rsidR="001D5525" w:rsidRPr="00EB2424">
              <w:rPr>
                <w:rFonts w:ascii="Sylfaen" w:hAnsi="Sylfaen"/>
                <w:sz w:val="22"/>
                <w:szCs w:val="22"/>
              </w:rPr>
              <w:t xml:space="preserve"> </w:t>
            </w:r>
            <w:r w:rsidR="006B316B">
              <w:rPr>
                <w:rFonts w:ascii="Sylfaen" w:hAnsi="Sylfaen"/>
                <w:sz w:val="22"/>
                <w:szCs w:val="22"/>
                <w:lang w:val="ka-GE"/>
              </w:rPr>
              <w:t>(</w:t>
            </w:r>
            <w:r w:rsidR="001D5525" w:rsidRPr="00EB2424">
              <w:rPr>
                <w:rFonts w:ascii="Sylfaen" w:hAnsi="Sylfaen"/>
                <w:sz w:val="22"/>
                <w:szCs w:val="22"/>
              </w:rPr>
              <w:t>სააგენტოს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02884DA9"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24" w:name="_Toc8112528"/>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24"/>
    </w:p>
    <w:p w14:paraId="375F39C6" w14:textId="7D3564ED"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 xml:space="preserve">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52063321" w:rsidR="001D5525" w:rsidRPr="00F407D5" w:rsidRDefault="001D5525" w:rsidP="00E23165">
            <w:pPr>
              <w:spacing w:line="276" w:lineRule="auto"/>
              <w:rPr>
                <w:rFonts w:ascii="Sylfaen" w:hAnsi="Sylfaen"/>
                <w:sz w:val="22"/>
                <w:szCs w:val="22"/>
                <w:lang w:val="ka-GE"/>
              </w:rPr>
            </w:pPr>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r w:rsidR="00F407D5">
              <w:rPr>
                <w:rFonts w:ascii="Sylfaen" w:hAnsi="Sylfaen"/>
                <w:sz w:val="22"/>
                <w:szCs w:val="22"/>
                <w:lang w:val="en-US"/>
              </w:rPr>
              <w:t xml:space="preserve"> (</w:t>
            </w:r>
            <w:r w:rsidR="00F407D5">
              <w:rPr>
                <w:rFonts w:ascii="Sylfaen" w:hAnsi="Sylfaen"/>
                <w:sz w:val="22"/>
                <w:szCs w:val="22"/>
                <w:lang w:val="ka-GE"/>
              </w:rPr>
              <w:t>ჯანდაცვის მიმართულება)</w:t>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03B6E33E"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25"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25"/>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992"/>
        <w:gridCol w:w="993"/>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26"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26"/>
    </w:p>
    <w:p w14:paraId="5676526B" w14:textId="649A15CC"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05982770" w:rsidR="001D5525" w:rsidRPr="00C110A9" w:rsidRDefault="00F407D5" w:rsidP="00F407D5">
            <w:pPr>
              <w:spacing w:line="276" w:lineRule="auto"/>
              <w:rPr>
                <w:rFonts w:ascii="Sylfaen" w:hAnsi="Sylfaen"/>
                <w:sz w:val="22"/>
                <w:szCs w:val="22"/>
              </w:rPr>
            </w:pPr>
            <w:r>
              <w:rPr>
                <w:rFonts w:ascii="Sylfaen" w:hAnsi="Sylfaen" w:cs="Sylfaen"/>
                <w:sz w:val="22"/>
                <w:szCs w:val="22"/>
                <w:lang w:val="ka-GE"/>
              </w:rPr>
              <w:t>საანგარიშგებო დოკუმენტაციის</w:t>
            </w:r>
            <w:r w:rsidR="001D5525" w:rsidRPr="00EB2424">
              <w:rPr>
                <w:rFonts w:ascii="Sylfaen" w:hAnsi="Sylfaen" w:cs="Sylfaen"/>
                <w:sz w:val="22"/>
                <w:szCs w:val="22"/>
              </w:rPr>
              <w:t xml:space="preserve">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27"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27"/>
    </w:p>
    <w:p w14:paraId="7C910A27" w14:textId="15968764"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28"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28"/>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29"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29"/>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584A7D71"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9647C8">
        <w:rPr>
          <w:rFonts w:ascii="Sylfaen" w:hAnsi="Sylfaen"/>
          <w:lang w:val="ka-GE"/>
        </w:rPr>
        <w:t>,</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0" w:name="_Toc8112534"/>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30"/>
    </w:p>
    <w:p w14:paraId="544235B3" w14:textId="3EC57E08" w:rsidR="00E31F1C" w:rsidRDefault="00FC3575" w:rsidP="00BC458D">
      <w:pPr>
        <w:spacing w:line="276" w:lineRule="auto"/>
        <w:jc w:val="both"/>
        <w:rPr>
          <w:rFonts w:ascii="Sylfaen" w:hAnsi="Sylfaen" w:cs="Sylfaen"/>
          <w:iCs/>
          <w:lang w:val="ka-GE"/>
        </w:rPr>
      </w:pPr>
      <w:r>
        <w:rPr>
          <w:rFonts w:ascii="Sylfaen" w:hAnsi="Sylfaen" w:cs="Sylfaen"/>
          <w:iCs/>
          <w:lang w:val="ka-GE"/>
        </w:rPr>
        <w:t>სააგენტოს</w:t>
      </w:r>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w:t>
      </w:r>
      <w:r w:rsidR="00C43503">
        <w:rPr>
          <w:rFonts w:ascii="Sylfaen" w:hAnsi="Sylfaen" w:cs="Sylfaen"/>
          <w:iCs/>
          <w:lang w:val="ka-GE"/>
        </w:rPr>
        <w:t>,</w:t>
      </w:r>
      <w:r w:rsidR="00E31F1C">
        <w:rPr>
          <w:rFonts w:ascii="Sylfaen" w:hAnsi="Sylfaen" w:cs="Sylfaen"/>
          <w:iCs/>
          <w:lang w:val="ka-GE"/>
        </w:rPr>
        <w:t xml:space="preserve"> თავის მხრივ</w:t>
      </w:r>
      <w:r w:rsidR="00C43503">
        <w:rPr>
          <w:rFonts w:ascii="Sylfaen" w:hAnsi="Sylfaen" w:cs="Sylfaen"/>
          <w:iCs/>
          <w:lang w:val="ka-GE"/>
        </w:rPr>
        <w:t>,</w:t>
      </w:r>
      <w:r w:rsidR="00E31F1C">
        <w:rPr>
          <w:rFonts w:ascii="Sylfaen" w:hAnsi="Sylfaen" w:cs="Sylfaen"/>
          <w:iCs/>
          <w:lang w:val="ka-GE"/>
        </w:rPr>
        <w:t xml:space="preserve">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9EF92DE" w:rsidR="00634FF5" w:rsidRPr="007D6488" w:rsidRDefault="00634FF5" w:rsidP="00BC458D">
      <w:pPr>
        <w:spacing w:line="276" w:lineRule="auto"/>
        <w:jc w:val="both"/>
        <w:rPr>
          <w:rFonts w:ascii="Sylfaen" w:hAnsi="Sylfaen"/>
          <w:iCs/>
          <w:lang w:val="ka-GE"/>
        </w:rPr>
      </w:pPr>
      <w:r>
        <w:rPr>
          <w:rFonts w:ascii="Sylfaen" w:hAnsi="Sylfaen"/>
          <w:iCs/>
          <w:lang w:val="ka-GE"/>
        </w:rPr>
        <w:t>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w:t>
      </w:r>
      <w:r w:rsidR="004E3F6D">
        <w:rPr>
          <w:rFonts w:ascii="Sylfaen" w:hAnsi="Sylfaen"/>
          <w:iCs/>
          <w:lang w:val="ka-GE"/>
        </w:rPr>
        <w:t>,</w:t>
      </w:r>
      <w:r>
        <w:rPr>
          <w:rFonts w:ascii="Sylfaen" w:hAnsi="Sylfaen"/>
          <w:iCs/>
          <w:lang w:val="ka-GE"/>
        </w:rPr>
        <w:t xml:space="preserve">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2D645C58" w:rsidR="001A04B6" w:rsidRDefault="00634FF5" w:rsidP="00BC458D">
      <w:pPr>
        <w:spacing w:line="276" w:lineRule="auto"/>
        <w:jc w:val="both"/>
        <w:rPr>
          <w:rFonts w:ascii="Sylfaen" w:hAnsi="Sylfaen"/>
          <w:iCs/>
          <w:lang w:val="ka-GE"/>
        </w:rPr>
      </w:pPr>
      <w:r>
        <w:rPr>
          <w:rFonts w:ascii="Sylfaen" w:hAnsi="Sylfaen"/>
          <w:iCs/>
          <w:lang w:val="ka-GE"/>
        </w:rPr>
        <w:t>სტრატეგიის და</w:t>
      </w:r>
      <w:r w:rsidR="004E3F6D">
        <w:rPr>
          <w:rFonts w:ascii="Sylfaen" w:hAnsi="Sylfaen"/>
          <w:iCs/>
          <w:lang w:val="ka-GE"/>
        </w:rPr>
        <w:t>ნე</w:t>
      </w:r>
      <w:r>
        <w:rPr>
          <w:rFonts w:ascii="Sylfaen" w:hAnsi="Sylfaen"/>
          <w:iCs/>
          <w:lang w:val="ka-GE"/>
        </w:rPr>
        <w:t xml:space="preserve">რგვის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w:t>
      </w:r>
      <w:r w:rsidR="004E3F6D">
        <w:rPr>
          <w:rFonts w:ascii="Sylfaen" w:hAnsi="Sylfaen" w:cs="Sylfaen"/>
          <w:lang w:val="ka-GE"/>
        </w:rPr>
        <w:t>ხ</w:t>
      </w:r>
      <w:r w:rsidRPr="007D6488">
        <w:rPr>
          <w:rFonts w:ascii="Sylfaen" w:hAnsi="Sylfaen" w:cs="Sylfaen"/>
          <w:lang w:val="ka-GE"/>
        </w:rPr>
        <w:t>ისმგებელი მინისტრის მოადგილე</w:t>
      </w:r>
      <w:r>
        <w:rPr>
          <w:rFonts w:ascii="Sylfaen" w:hAnsi="Sylfaen" w:cs="Sylfaen"/>
          <w:lang w:val="ka-GE"/>
        </w:rPr>
        <w:t xml:space="preserve">. </w:t>
      </w:r>
      <w:r w:rsidR="00D14462" w:rsidRPr="007D6488">
        <w:rPr>
          <w:rFonts w:ascii="Sylfaen" w:hAnsi="Sylfaen"/>
          <w:iCs/>
          <w:lang w:val="en-GB"/>
        </w:rPr>
        <w:t>სტრატეგიული შესყიდვების დ</w:t>
      </w:r>
      <w:r w:rsidR="00623D18">
        <w:rPr>
          <w:rFonts w:ascii="Sylfaen" w:hAnsi="Sylfaen"/>
          <w:iCs/>
          <w:lang w:val="en-GB"/>
        </w:rPr>
        <w:t xml:space="preserve">ანერგვის სამუშაო ჯგუფში შედიან </w:t>
      </w:r>
      <w:bookmarkStart w:id="31" w:name="_GoBack"/>
      <w:bookmarkEnd w:id="31"/>
      <w:r w:rsidR="00D14462" w:rsidRPr="007D6488">
        <w:rPr>
          <w:rFonts w:ascii="Sylfaen" w:hAnsi="Sylfaen"/>
          <w:iCs/>
          <w:lang w:val="en-GB"/>
        </w:rPr>
        <w:t>სააგენტოს</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იგი</w:t>
      </w:r>
      <w:r w:rsidR="00FA44E9">
        <w:rPr>
          <w:rFonts w:ascii="Sylfaen" w:hAnsi="Sylfaen"/>
          <w:iCs/>
          <w:lang w:val="ka-GE"/>
        </w:rPr>
        <w:t>,</w:t>
      </w:r>
      <w:r w:rsidR="0044599D">
        <w:rPr>
          <w:rFonts w:ascii="Sylfaen" w:hAnsi="Sylfaen"/>
          <w:iCs/>
          <w:lang w:val="ka-GE"/>
        </w:rPr>
        <w:t xml:space="preserve"> </w:t>
      </w:r>
      <w:r w:rsidR="00D14462" w:rsidRPr="007D6488">
        <w:rPr>
          <w:rFonts w:ascii="Sylfaen" w:hAnsi="Sylfaen"/>
          <w:iCs/>
          <w:lang w:val="ka-GE"/>
        </w:rPr>
        <w:t>ასევე</w:t>
      </w:r>
      <w:r w:rsidR="00FA44E9">
        <w:rPr>
          <w:rFonts w:ascii="Sylfaen" w:hAnsi="Sylfaen"/>
          <w:iCs/>
          <w:lang w:val="ka-GE"/>
        </w:rPr>
        <w:t>,</w:t>
      </w:r>
      <w:r w:rsidR="00D14462" w:rsidRPr="007D6488">
        <w:rPr>
          <w:rFonts w:ascii="Sylfaen" w:hAnsi="Sylfaen"/>
          <w:iCs/>
          <w:lang w:val="ka-GE"/>
        </w:rPr>
        <w:t xml:space="preserve">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w:t>
      </w:r>
      <w:r w:rsidR="00FA44E9">
        <w:rPr>
          <w:rFonts w:ascii="Sylfaen" w:hAnsi="Sylfaen"/>
          <w:iCs/>
          <w:lang w:val="ka-GE"/>
        </w:rPr>
        <w:t>კ</w:t>
      </w:r>
      <w:r w:rsidR="0044599D">
        <w:rPr>
          <w:rFonts w:ascii="Sylfaen" w:hAnsi="Sylfaen"/>
          <w:iCs/>
          <w:lang w:val="ka-GE"/>
        </w:rPr>
        <w:t>უპირებული ტერი</w:t>
      </w:r>
      <w:r w:rsidR="00FA44E9">
        <w:rPr>
          <w:rFonts w:ascii="Sylfaen" w:hAnsi="Sylfaen"/>
          <w:iCs/>
          <w:lang w:val="ka-GE"/>
        </w:rPr>
        <w:t>ტ</w:t>
      </w:r>
      <w:r w:rsidR="0044599D">
        <w:rPr>
          <w:rFonts w:ascii="Sylfaen" w:hAnsi="Sylfaen"/>
          <w:iCs/>
          <w:lang w:val="ka-GE"/>
        </w:rPr>
        <w:t xml:space="preserve">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32" w:name="_Toc8112535"/>
      <w:r w:rsidRPr="007D6488">
        <w:rPr>
          <w:rFonts w:ascii="Sylfaen" w:hAnsi="Sylfaen"/>
          <w:i w:val="0"/>
          <w:sz w:val="24"/>
          <w:szCs w:val="24"/>
          <w:lang w:val="en-GB"/>
        </w:rPr>
        <w:lastRenderedPageBreak/>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32"/>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2CC872ED"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დეპარტამენტის დონეზე</w:t>
      </w:r>
      <w:r w:rsidR="00BD58EC">
        <w:rPr>
          <w:rFonts w:ascii="Sylfaen" w:hAnsi="Sylfaen"/>
          <w:lang w:val="ka-GE"/>
        </w:rPr>
        <w:t>,</w:t>
      </w:r>
      <w:r w:rsidR="00057248" w:rsidRPr="007D6488">
        <w:rPr>
          <w:rFonts w:ascii="Sylfaen" w:hAnsi="Sylfaen"/>
          <w:lang w:val="ka-GE"/>
        </w:rPr>
        <w:t xml:space="preserve">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ინიციატივები</w:t>
      </w:r>
      <w:r w:rsidRPr="007D6488">
        <w:rPr>
          <w:rFonts w:ascii="Sylfaen" w:hAnsi="Sylfaen"/>
          <w:lang w:val="ka-GE"/>
        </w:rPr>
        <w:t>ს შესრულებ</w:t>
      </w:r>
      <w:r w:rsidR="00BD58EC">
        <w:rPr>
          <w:rFonts w:ascii="Sylfaen" w:hAnsi="Sylfaen"/>
          <w:lang w:val="ka-GE"/>
        </w:rPr>
        <w:t xml:space="preserve">აზე </w:t>
      </w:r>
      <w:r w:rsidR="00536731">
        <w:rPr>
          <w:rFonts w:ascii="Sylfaen" w:hAnsi="Sylfaen"/>
          <w:lang w:val="ka-GE"/>
        </w:rPr>
        <w:t xml:space="preserve">სამინისტროს </w:t>
      </w:r>
      <w:r w:rsidR="00BD58EC">
        <w:rPr>
          <w:rFonts w:ascii="Sylfaen" w:hAnsi="Sylfaen"/>
          <w:lang w:val="ka-GE"/>
        </w:rPr>
        <w:t>ზედამხედველობის მიზნით</w:t>
      </w:r>
      <w:r w:rsidR="00057248" w:rsidRPr="007D6488">
        <w:rPr>
          <w:rFonts w:ascii="Sylfaen" w:hAnsi="Sylfaen"/>
          <w:lang w:val="ka-GE"/>
        </w:rPr>
        <w:t>.</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16E6C197"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w:t>
      </w:r>
      <w:r w:rsidR="00536731">
        <w:rPr>
          <w:rFonts w:ascii="Sylfaen" w:hAnsi="Sylfaen" w:cs="Sylfaen"/>
          <w:lang w:val="ka-GE"/>
        </w:rPr>
        <w:t>,</w:t>
      </w:r>
      <w:r w:rsidR="00A51636" w:rsidRPr="007D6488">
        <w:rPr>
          <w:rFonts w:ascii="Sylfaen" w:hAnsi="Sylfaen" w:cs="Sylfaen"/>
          <w:lang w:val="ka-GE"/>
        </w:rPr>
        <w:t xml:space="preserve">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0833D0D9"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სააგენტოს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2EA6929A"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 სააგენტოს ცენტრალური და რეგიონული ოფისების თანამშრომლების შესაძლებლობების გაძლიერება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w:t>
      </w:r>
      <w:r w:rsidR="00C462E4">
        <w:rPr>
          <w:rFonts w:ascii="Sylfaen" w:hAnsi="Sylfaen"/>
          <w:iCs/>
          <w:lang w:val="ka-GE"/>
        </w:rPr>
        <w:t xml:space="preserve">რეგულარული </w:t>
      </w:r>
      <w:r w:rsidR="006672AE">
        <w:rPr>
          <w:rFonts w:ascii="Sylfaen" w:hAnsi="Sylfaen"/>
          <w:iCs/>
          <w:lang w:val="ka-GE"/>
        </w:rPr>
        <w:t xml:space="preserve">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136BC5DA"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w:t>
      </w:r>
      <w:r w:rsidR="00C462E4">
        <w:rPr>
          <w:rFonts w:ascii="Sylfaen" w:hAnsi="Sylfaen"/>
          <w:iCs/>
          <w:lang w:val="ka-GE"/>
        </w:rPr>
        <w:t>,</w:t>
      </w:r>
      <w:r w:rsidRPr="00991189">
        <w:rPr>
          <w:rFonts w:ascii="Sylfaen" w:hAnsi="Sylfaen"/>
          <w:iCs/>
          <w:lang w:val="ka-GE"/>
        </w:rPr>
        <w:t xml:space="preserve">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486CDCE2"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განხორციელებაზე მონიტორინგს ახ</w:t>
      </w:r>
      <w:r w:rsidR="000C6F6A">
        <w:rPr>
          <w:rFonts w:ascii="Sylfaen" w:hAnsi="Sylfaen"/>
          <w:iCs/>
          <w:lang w:val="ka-GE"/>
        </w:rPr>
        <w:t>ორციელებს</w:t>
      </w:r>
      <w:r w:rsidRPr="00991189">
        <w:rPr>
          <w:rFonts w:ascii="Sylfaen" w:hAnsi="Sylfaen"/>
          <w:iCs/>
          <w:lang w:val="ka-GE"/>
        </w:rPr>
        <w:t xml:space="preserve">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33"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33"/>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1362B8A0"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w:t>
      </w:r>
      <w:r w:rsidR="00FB555C">
        <w:rPr>
          <w:rFonts w:ascii="Sylfaen" w:hAnsi="Sylfaen"/>
          <w:iCs/>
          <w:lang w:val="ka-GE"/>
        </w:rPr>
        <w:t>,</w:t>
      </w:r>
      <w:r w:rsidRPr="00F223BD">
        <w:rPr>
          <w:rFonts w:ascii="Sylfaen" w:hAnsi="Sylfaen"/>
          <w:iCs/>
          <w:lang w:val="ka-GE"/>
        </w:rPr>
        <w:t xml:space="preserve"> </w:t>
      </w:r>
      <w:r w:rsidR="00FB555C">
        <w:rPr>
          <w:rFonts w:ascii="Sylfaen" w:hAnsi="Sylfaen"/>
          <w:iCs/>
          <w:lang w:val="ka-GE"/>
        </w:rPr>
        <w:t xml:space="preserve">შეიძლება, </w:t>
      </w:r>
      <w:r w:rsidRPr="00F223BD">
        <w:rPr>
          <w:rFonts w:ascii="Sylfaen" w:hAnsi="Sylfaen"/>
          <w:iCs/>
          <w:lang w:val="ka-GE"/>
        </w:rPr>
        <w:t>განპირობებული</w:t>
      </w:r>
      <w:r>
        <w:rPr>
          <w:rFonts w:ascii="Sylfaen" w:hAnsi="Sylfaen"/>
          <w:iCs/>
          <w:lang w:val="ka-GE"/>
        </w:rPr>
        <w:t xml:space="preserve">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41182F45" w:rsidR="00991189" w:rsidRPr="00F223BD" w:rsidRDefault="00E31F1C" w:rsidP="00991189">
      <w:pPr>
        <w:spacing w:line="276" w:lineRule="auto"/>
        <w:jc w:val="both"/>
        <w:rPr>
          <w:rFonts w:ascii="Sylfaen" w:hAnsi="Sylfaen"/>
          <w:iCs/>
          <w:lang w:val="ka-GE"/>
        </w:rPr>
      </w:pPr>
      <w:r>
        <w:rPr>
          <w:rFonts w:ascii="Sylfaen" w:hAnsi="Sylfaen"/>
          <w:iCs/>
          <w:lang w:val="ka-GE"/>
        </w:rPr>
        <w:t>სტრატეგიის დანერგვის ფინანსური რისკი უკავშირდება  სააგენტოს უწ</w:t>
      </w:r>
      <w:r w:rsidR="00FB555C">
        <w:rPr>
          <w:rFonts w:ascii="Sylfaen" w:hAnsi="Sylfaen"/>
          <w:iCs/>
          <w:lang w:val="ka-GE"/>
        </w:rPr>
        <w:t>ყ</w:t>
      </w:r>
      <w:r>
        <w:rPr>
          <w:rFonts w:ascii="Sylfaen" w:hAnsi="Sylfaen"/>
          <w:iCs/>
          <w:lang w:val="ka-GE"/>
        </w:rPr>
        <w:t xml:space="preserve">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34"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34"/>
    </w:p>
    <w:p w14:paraId="56E0160F" w14:textId="55838341"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სამინისტროს და სააგენტოს ჯანმრთელობის დაცვის სექტორის ადმინისტრირებისთვის გამოყოფილი თანხები</w:t>
      </w:r>
      <w:r w:rsidR="003E1123">
        <w:rPr>
          <w:rFonts w:ascii="Sylfaen" w:hAnsi="Sylfaen"/>
          <w:iCs/>
          <w:lang w:val="ka-GE"/>
        </w:rPr>
        <w:t>. ასევე</w:t>
      </w:r>
      <w:r w:rsidR="00A76D8E">
        <w:rPr>
          <w:rFonts w:ascii="Sylfaen" w:hAnsi="Sylfaen"/>
          <w:iCs/>
          <w:lang w:val="ka-GE"/>
        </w:rPr>
        <w:t>,</w:t>
      </w:r>
      <w:r w:rsidR="003E1123">
        <w:rPr>
          <w:rFonts w:ascii="Sylfaen" w:hAnsi="Sylfaen"/>
          <w:iCs/>
          <w:lang w:val="ka-GE"/>
        </w:rPr>
        <w:t xml:space="preserve">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ჯანმრთელობის მსოფლიო </w:t>
      </w:r>
      <w:r w:rsidR="008C1702">
        <w:rPr>
          <w:rFonts w:ascii="Sylfaen" w:hAnsi="Sylfaen"/>
          <w:iCs/>
          <w:lang w:val="ka-GE"/>
        </w:rPr>
        <w:lastRenderedPageBreak/>
        <w:t>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აღნიშნული მიმართულებებით მოქმედი პროექტებით გათვალისწინებული თანხები. სტრ</w:t>
      </w:r>
      <w:r w:rsidR="00A76D8E">
        <w:rPr>
          <w:rFonts w:ascii="Sylfaen" w:hAnsi="Sylfaen"/>
          <w:iCs/>
          <w:lang w:val="ka-GE"/>
        </w:rPr>
        <w:t>ა</w:t>
      </w:r>
      <w:r w:rsidR="00F627DE">
        <w:rPr>
          <w:rFonts w:ascii="Sylfaen" w:hAnsi="Sylfaen"/>
          <w:iCs/>
          <w:lang w:val="ka-GE"/>
        </w:rPr>
        <w:t xml:space="preserve">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ლარს. აქედან</w:t>
      </w:r>
      <w:r w:rsidR="006D764B">
        <w:rPr>
          <w:rFonts w:ascii="Sylfaen" w:hAnsi="Sylfaen"/>
          <w:iCs/>
          <w:lang w:val="ka-GE"/>
        </w:rPr>
        <w:t>,</w:t>
      </w:r>
      <w:r w:rsidR="00F627DE">
        <w:rPr>
          <w:rFonts w:ascii="Sylfaen" w:hAnsi="Sylfaen"/>
          <w:iCs/>
          <w:lang w:val="ka-GE"/>
        </w:rPr>
        <w:t xml:space="preserve"> </w:t>
      </w:r>
      <w:r w:rsidR="00CC05FA">
        <w:rPr>
          <w:rFonts w:ascii="Sylfaen" w:hAnsi="Sylfaen"/>
          <w:iCs/>
        </w:rPr>
        <w:t>93</w:t>
      </w:r>
      <w:r w:rsidR="00F627DE">
        <w:rPr>
          <w:rFonts w:ascii="Sylfaen" w:hAnsi="Sylfaen"/>
          <w:iCs/>
          <w:lang w:val="ka-GE"/>
        </w:rPr>
        <w:t>%</w:t>
      </w:r>
      <w:r w:rsidR="006D764B">
        <w:rPr>
          <w:rFonts w:ascii="Sylfaen" w:hAnsi="Sylfaen"/>
          <w:iCs/>
          <w:lang w:val="ka-GE"/>
        </w:rPr>
        <w:t>-ს</w:t>
      </w:r>
      <w:r w:rsidR="00F627DE">
        <w:rPr>
          <w:rFonts w:ascii="Sylfaen" w:hAnsi="Sylfaen"/>
          <w:iCs/>
          <w:lang w:val="ka-GE"/>
        </w:rPr>
        <w:t xml:space="preserve"> სახელმწიფო ბიუჯეტიდან </w:t>
      </w:r>
      <w:r w:rsidR="008F4CB8">
        <w:rPr>
          <w:rFonts w:ascii="Sylfaen" w:hAnsi="Sylfaen"/>
          <w:iCs/>
          <w:lang w:val="ka-GE"/>
        </w:rPr>
        <w:t>სამინისტროსა და სააგენტოს ადმინისტრირებისთვის გათვალისწინებულ</w:t>
      </w:r>
      <w:r w:rsidR="006D764B">
        <w:rPr>
          <w:rFonts w:ascii="Sylfaen" w:hAnsi="Sylfaen"/>
          <w:iCs/>
          <w:lang w:val="ka-GE"/>
        </w:rPr>
        <w:t>ი</w:t>
      </w:r>
      <w:r w:rsidR="008F4CB8">
        <w:rPr>
          <w:rFonts w:ascii="Sylfaen" w:hAnsi="Sylfaen"/>
          <w:iCs/>
          <w:lang w:val="ka-GE"/>
        </w:rPr>
        <w:t xml:space="preserve"> ასიგნებებ</w:t>
      </w:r>
      <w:r w:rsidR="006D764B">
        <w:rPr>
          <w:rFonts w:ascii="Sylfaen" w:hAnsi="Sylfaen"/>
          <w:iCs/>
          <w:lang w:val="ka-GE"/>
        </w:rPr>
        <w:t>ი</w:t>
      </w:r>
      <w:r w:rsidR="008F4CB8">
        <w:rPr>
          <w:rFonts w:ascii="Sylfaen" w:hAnsi="Sylfaen"/>
          <w:iCs/>
          <w:lang w:val="ka-GE"/>
        </w:rPr>
        <w:t xml:space="preserve">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652"/>
        <w:gridCol w:w="1559"/>
        <w:gridCol w:w="1418"/>
        <w:gridCol w:w="1417"/>
        <w:gridCol w:w="119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35" w:name="_Toc8112538"/>
      <w:r w:rsidRPr="007D6488">
        <w:rPr>
          <w:rFonts w:ascii="Sylfaen" w:hAnsi="Sylfaen" w:cs="Sylfaen"/>
          <w:sz w:val="24"/>
          <w:szCs w:val="24"/>
          <w:lang w:val="en-GB"/>
        </w:rPr>
        <w:t>გამოყენებული ლიტერატურა</w:t>
      </w:r>
      <w:bookmarkEnd w:id="35"/>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hyperlink r:id="rId9" w:history="1">
        <w:r w:rsidR="00681C02" w:rsidRPr="00681C02">
          <w:rPr>
            <w:rStyle w:val="Hyperlink"/>
            <w:rFonts w:eastAsiaTheme="majorEastAsia"/>
          </w:rPr>
          <w:t>http://www.ncdc.ge/Handlers/GetFile.ashx?ID=f7a28a1e-0489-49a0-b183-eb8674244541</w:t>
        </w:r>
      </w:hyperlink>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0"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1"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2"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3" w:history="1">
        <w:r w:rsidRPr="00A66FFB">
          <w:rPr>
            <w:rStyle w:val="Hyperlink"/>
            <w:rFonts w:eastAsiaTheme="majorEastAsia"/>
            <w:lang w:val="ka-GE"/>
          </w:rPr>
          <w:t>https://mof.ge/BDD</w:t>
        </w:r>
      </w:hyperlink>
    </w:p>
    <w:p w14:paraId="175C8C2B" w14:textId="6DB82CBF" w:rsidR="00681C02" w:rsidRPr="00A66FFB" w:rsidRDefault="002E6210" w:rsidP="00681C02">
      <w:pPr>
        <w:spacing w:line="276" w:lineRule="auto"/>
        <w:ind w:left="720" w:hanging="720"/>
        <w:rPr>
          <w:lang w:val="ka-GE"/>
        </w:rPr>
      </w:pPr>
      <w:r>
        <w:rPr>
          <w:rFonts w:ascii="Sylfaen" w:hAnsi="Sylfaen"/>
          <w:lang w:val="ka-GE"/>
        </w:rPr>
        <w:lastRenderedPageBreak/>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hyperlink r:id="rId14" w:history="1">
        <w:r w:rsidR="00681C02" w:rsidRPr="00A66FFB">
          <w:rPr>
            <w:rStyle w:val="Hyperlink"/>
            <w:rFonts w:eastAsiaTheme="majorEastAsia"/>
            <w:lang w:val="ka-GE"/>
          </w:rPr>
          <w:t>http://ssa.gov.ge/index.php?lang_id=GEO&amp;sec_id=803</w:t>
        </w:r>
      </w:hyperlink>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r w:rsidR="00DB15ED">
        <w:rPr>
          <w:rFonts w:ascii="Sylfaen" w:eastAsia="Sylfaen" w:hAnsi="Sylfaen"/>
        </w:rPr>
        <w:t xml:space="preserve"> </w:t>
      </w:r>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5"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6"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7"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18"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19"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0"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1"/>
          <w:footerReference w:type="default" r:id="rId22"/>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36"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36"/>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4C3F5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4C3F5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4C3F5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4C3F5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195E1A">
        <w:trPr>
          <w:trHeight w:val="1008"/>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4C3F5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4C3F5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4C3F5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4C3F5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4C3F5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05A221E8"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009C760E">
              <w:rPr>
                <w:rFonts w:ascii="Sylfaen" w:hAnsi="Sylfaen"/>
                <w:b/>
                <w:bCs/>
                <w:sz w:val="18"/>
                <w:szCs w:val="20"/>
                <w:lang w:val="ka-GE"/>
              </w:rPr>
              <w:t xml:space="preserve">ჯანდაცვის სერვისებით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4C3F5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4C3F5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4C3F5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4C3F5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40BBEF44" w:rsidR="0020600F" w:rsidRPr="007F5308" w:rsidRDefault="00195E1A" w:rsidP="00195E1A">
            <w:pPr>
              <w:jc w:val="center"/>
              <w:rPr>
                <w:rFonts w:ascii="Calibri" w:hAnsi="Calibri" w:cs="Calibri"/>
                <w:sz w:val="18"/>
                <w:szCs w:val="18"/>
              </w:rPr>
            </w:pPr>
            <w:r>
              <w:rPr>
                <w:rFonts w:ascii="Sylfaen" w:hAnsi="Sylfaen"/>
                <w:sz w:val="18"/>
                <w:szCs w:val="20"/>
                <w:lang w:val="ka-GE"/>
              </w:rPr>
              <w:t xml:space="preserve">დაზუსტდება </w:t>
            </w:r>
            <w:r w:rsidR="0020600F" w:rsidRPr="0044686B">
              <w:rPr>
                <w:rFonts w:ascii="Sylfaen" w:hAnsi="Sylfaen"/>
                <w:sz w:val="18"/>
                <w:szCs w:val="20"/>
                <w:lang w:val="ka-GE"/>
              </w:rPr>
              <w:t>კ</w:t>
            </w:r>
            <w:r>
              <w:rPr>
                <w:rFonts w:ascii="Sylfaen" w:hAnsi="Sylfaen"/>
                <w:sz w:val="18"/>
                <w:szCs w:val="20"/>
                <w:lang w:val="ka-GE"/>
              </w:rPr>
              <w:t>ეთილდღეობის ბარიერების კვლევის შედეგების საფუძველზე</w:t>
            </w:r>
          </w:p>
        </w:tc>
      </w:tr>
      <w:tr w:rsidR="0020600F" w:rsidRPr="002C1BAE" w14:paraId="4A7D0A63" w14:textId="77777777" w:rsidTr="004C3F5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314F38A5" w:rsidR="0020600F" w:rsidRPr="0044686B" w:rsidRDefault="0020600F" w:rsidP="004C3F5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w:t>
            </w:r>
            <w:r w:rsidR="005E1628">
              <w:rPr>
                <w:rFonts w:ascii="Sylfaen" w:hAnsi="Sylfaen" w:cs="Sylfaen"/>
                <w:sz w:val="18"/>
                <w:szCs w:val="20"/>
                <w:lang w:val="ka-GE"/>
              </w:rPr>
              <w:t>ცილებადი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2B9C5196"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4C3F5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4C3F53">
            <w:pPr>
              <w:rPr>
                <w:rFonts w:ascii="Calibri" w:hAnsi="Calibri" w:cs="Calibri"/>
                <w:sz w:val="18"/>
                <w:szCs w:val="18"/>
                <w:lang w:val="ka-GE"/>
              </w:rPr>
            </w:pPr>
            <w:r w:rsidRPr="0044686B">
              <w:rPr>
                <w:rFonts w:ascii="Calibri" w:hAnsi="Calibri"/>
                <w:sz w:val="18"/>
                <w:szCs w:val="20"/>
              </w:rPr>
              <w:t xml:space="preserve">5)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4C3F5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4C3F5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63B6EFE1"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4C3F5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4DAB19C5"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w:t>
            </w:r>
            <w:r w:rsidR="001076DE">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hideMark/>
          </w:tcPr>
          <w:p w14:paraId="4ADFF6D9" w14:textId="33A813E2"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4C3F5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4C3F5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520FA589" w:rsidR="0020600F" w:rsidRPr="0044686B" w:rsidRDefault="0020600F" w:rsidP="004C3F53">
            <w:pPr>
              <w:rPr>
                <w:rFonts w:ascii="Calibri" w:hAnsi="Calibri" w:cs="Calibri"/>
                <w:sz w:val="18"/>
                <w:szCs w:val="18"/>
              </w:rPr>
            </w:pPr>
            <w:r w:rsidRPr="0044686B">
              <w:rPr>
                <w:rFonts w:ascii="Calibri" w:hAnsi="Calibri"/>
                <w:sz w:val="18"/>
                <w:szCs w:val="20"/>
              </w:rPr>
              <w:t>8) DRG-</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1DF210ED"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042F8AF3"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w:t>
            </w:r>
            <w:r w:rsidR="001076DE">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4C3F5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08B11034"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4C3F5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4C3F5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4C3F53">
            <w:pPr>
              <w:rPr>
                <w:rFonts w:ascii="Sylfaen" w:hAnsi="Sylfaen" w:cs="Sylfaen"/>
                <w:sz w:val="18"/>
                <w:szCs w:val="18"/>
              </w:rPr>
            </w:pPr>
          </w:p>
          <w:p w14:paraId="4D33DB4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4C3F5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4C3F5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4C3F53">
            <w:pPr>
              <w:rPr>
                <w:rFonts w:ascii="Sylfaen" w:hAnsi="Sylfaen" w:cs="Sylfaen"/>
                <w:sz w:val="18"/>
                <w:szCs w:val="18"/>
              </w:rPr>
            </w:pPr>
          </w:p>
          <w:p w14:paraId="2015E703"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4C3F5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4C3F53">
            <w:pPr>
              <w:rPr>
                <w:rFonts w:ascii="Sylfaen" w:hAnsi="Sylfaen" w:cs="Sylfaen"/>
                <w:sz w:val="18"/>
                <w:szCs w:val="18"/>
              </w:rPr>
            </w:pPr>
          </w:p>
          <w:p w14:paraId="299FF1A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4C3F5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3BEB7D23" w14:textId="77777777" w:rsidR="009958D3" w:rsidRPr="009958D3" w:rsidRDefault="0020600F" w:rsidP="009958D3">
            <w:pPr>
              <w:rPr>
                <w:rFonts w:ascii="Sylfaen" w:hAnsi="Sylfaen" w:cs="Sylfaen"/>
                <w:sz w:val="18"/>
                <w:szCs w:val="20"/>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9958D3">
              <w:rPr>
                <w:rFonts w:ascii="Sylfaen" w:hAnsi="Sylfaen" w:cs="Sylfaen"/>
                <w:sz w:val="18"/>
                <w:szCs w:val="20"/>
              </w:rPr>
              <w:t>(</w:t>
            </w:r>
            <w:r w:rsidRPr="0044686B">
              <w:rPr>
                <w:rFonts w:ascii="Sylfaen" w:hAnsi="Sylfaen" w:cs="Sylfaen"/>
                <w:sz w:val="18"/>
                <w:szCs w:val="20"/>
              </w:rPr>
              <w:t>მხოლოდ</w:t>
            </w:r>
            <w:r w:rsidR="009958D3" w:rsidRPr="009958D3">
              <w:rPr>
                <w:rFonts w:ascii="Sylfaen" w:hAnsi="Sylfaen" w:cs="Sylfaen"/>
                <w:sz w:val="18"/>
                <w:szCs w:val="20"/>
              </w:rPr>
              <w:t>AC - მრავალპროფილიანი სტაციონარი</w:t>
            </w:r>
          </w:p>
          <w:p w14:paraId="542C6E39" w14:textId="461B5207" w:rsidR="009958D3" w:rsidRPr="009958D3" w:rsidRDefault="009958D3" w:rsidP="009958D3">
            <w:pPr>
              <w:rPr>
                <w:rFonts w:ascii="Sylfaen" w:hAnsi="Sylfaen" w:cs="Sylfaen"/>
                <w:sz w:val="18"/>
                <w:szCs w:val="20"/>
              </w:rPr>
            </w:pPr>
            <w:r w:rsidRPr="009958D3">
              <w:rPr>
                <w:rFonts w:ascii="Sylfaen" w:hAnsi="Sylfaen" w:cs="Sylfaen"/>
                <w:sz w:val="18"/>
                <w:szCs w:val="20"/>
              </w:rPr>
              <w:t>AD - რეფერალური მრავალპროფილიანი სტაციონარი</w:t>
            </w:r>
            <w:r>
              <w:rPr>
                <w:rFonts w:ascii="Sylfaen" w:hAnsi="Sylfaen" w:cs="Sylfaen"/>
                <w:sz w:val="18"/>
                <w:szCs w:val="20"/>
              </w:rPr>
              <w:t>)</w:t>
            </w:r>
          </w:p>
          <w:p w14:paraId="5B72D97B" w14:textId="5A6DA8A4" w:rsidR="0020600F" w:rsidRPr="0044686B" w:rsidRDefault="0020600F" w:rsidP="001076DE">
            <w:pPr>
              <w:rPr>
                <w:rFonts w:ascii="Calibri" w:hAnsi="Calibri" w:cs="Calibri"/>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68163E78"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4C3F5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70EA000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4C3F5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4C3F5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6573A451" w:rsidR="0020600F" w:rsidRPr="0044686B" w:rsidRDefault="0020600F" w:rsidP="004C3F5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00765E09">
              <w:rPr>
                <w:rFonts w:ascii="Sylfaen" w:hAnsi="Sylfaen"/>
                <w:sz w:val="18"/>
                <w:szCs w:val="20"/>
                <w:lang w:val="ka-GE"/>
              </w:rPr>
              <w:t xml:space="preserve">შემდეგი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0770D85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4C3F5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7B4778DD" w:rsidR="0020600F" w:rsidRPr="0044686B" w:rsidRDefault="0020600F" w:rsidP="00765E09">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3D2A83AC"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3C0FC08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4C3F5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4A7D94CB"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4C3F5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09BDD5DB" w:rsidR="0020600F" w:rsidRPr="0044686B" w:rsidRDefault="0020600F" w:rsidP="00765E09">
            <w:pPr>
              <w:rPr>
                <w:rFonts w:ascii="Calibri" w:hAnsi="Calibri" w:cs="Calibri"/>
                <w:sz w:val="18"/>
                <w:szCs w:val="18"/>
              </w:rPr>
            </w:pPr>
            <w:r w:rsidRPr="00AF7E09">
              <w:rPr>
                <w:rFonts w:ascii="Sylfaen" w:hAnsi="Sylfaen" w:cs="Sylfaen"/>
                <w:sz w:val="18"/>
                <w:szCs w:val="20"/>
              </w:rPr>
              <w:t xml:space="preserve">18) საკეისრო კვეთების რაოდენობებს შორის განსხვავება ცენტრის და სააგენტოს მონაცემების მიხედვით </w:t>
            </w:r>
            <w:r w:rsidR="00765E09">
              <w:rPr>
                <w:rFonts w:ascii="Sylfaen" w:hAnsi="Sylfaen" w:cs="Sylfaen"/>
                <w:sz w:val="18"/>
                <w:szCs w:val="20"/>
                <w:lang w:val="ka-GE"/>
              </w:rPr>
              <w:t>(</w:t>
            </w:r>
            <w:r w:rsidRPr="00AF7E09">
              <w:rPr>
                <w:rFonts w:ascii="Sylfaen" w:hAnsi="Sylfaen" w:cs="Sylfaen"/>
                <w:sz w:val="18"/>
                <w:szCs w:val="20"/>
              </w:rPr>
              <w:t>სააგენტოს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4C1956F0"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4C3F5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4C3F53">
            <w:pPr>
              <w:rPr>
                <w:rFonts w:ascii="Calibri" w:hAnsi="Calibri" w:cs="Calibri"/>
                <w:sz w:val="18"/>
                <w:szCs w:val="18"/>
              </w:rPr>
            </w:pPr>
            <w:r w:rsidRPr="00F515E6">
              <w:rPr>
                <w:rFonts w:ascii="Sylfaen" w:hAnsi="Sylfaen" w:cs="Sylfaen"/>
                <w:sz w:val="18"/>
                <w:szCs w:val="20"/>
              </w:rPr>
              <w:t>19) სტანდარტული ოპერაციული პროცედურებით (SOP) გაწერილი პროცესების ხვედრითი წილი ძირითადი 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74540184"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4C3F5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76FDCCC4"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4C3F5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2FD8EC89"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1F3E7743"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4C3F5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5FF43733"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37"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37"/>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36F68A60"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00D62391">
              <w:rPr>
                <w:rFonts w:ascii="Sylfaen" w:hAnsi="Sylfaen" w:cs="Calibri"/>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2B275F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35C12F34"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3342BEE2"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1B148E">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r w:rsidRPr="00D64458">
              <w:rPr>
                <w:rFonts w:ascii="Sylfaen" w:hAnsi="Sylfaen" w:cs="Sylfaen"/>
                <w:sz w:val="18"/>
                <w:szCs w:val="18"/>
              </w:rPr>
              <w:t>კატეგორიების</w:t>
            </w:r>
            <w:r w:rsidRPr="00D64458">
              <w:rPr>
                <w:rFonts w:ascii="Calibri" w:hAnsi="Calibri" w:cs="Calibri"/>
                <w:sz w:val="18"/>
                <w:szCs w:val="18"/>
              </w:rPr>
              <w:t xml:space="preserve">  (MDC) </w:t>
            </w:r>
            <w:r w:rsidRPr="00D64458">
              <w:rPr>
                <w:rFonts w:ascii="Sylfaen" w:hAnsi="Sylfaen" w:cs="Sylfaen"/>
                <w:sz w:val="18"/>
                <w:szCs w:val="18"/>
              </w:rPr>
              <w:t>მიხედვით</w:t>
            </w:r>
          </w:p>
          <w:p w14:paraId="70A19FAE" w14:textId="53F7B77E"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182D55FA"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005A11DB">
              <w:rPr>
                <w:rFonts w:ascii="Sylfaen" w:hAnsi="Sylfaen" w:cs="Calibri"/>
                <w:sz w:val="18"/>
                <w:szCs w:val="18"/>
                <w:lang w:val="ka-GE"/>
              </w:rPr>
              <w:t xml:space="preserve">თბილისის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w:t>
            </w:r>
            <w:r w:rsidR="005A11DB">
              <w:rPr>
                <w:rFonts w:ascii="Sylfaen" w:hAnsi="Sylfaen" w:cs="Sylfaen"/>
                <w:sz w:val="18"/>
                <w:szCs w:val="18"/>
                <w:lang w:val="ka-GE"/>
              </w:rPr>
              <w:t>ე</w:t>
            </w:r>
            <w:r w:rsidRPr="00D64458">
              <w:rPr>
                <w:rFonts w:ascii="Sylfaen" w:hAnsi="Sylfaen" w:cs="Sylfaen"/>
                <w:sz w:val="18"/>
                <w:szCs w:val="18"/>
              </w:rPr>
              <w:t>ულ</w:t>
            </w:r>
            <w:r w:rsidRPr="00D64458">
              <w:rPr>
                <w:rFonts w:ascii="Calibri" w:hAnsi="Calibri" w:cs="Calibri"/>
                <w:sz w:val="18"/>
                <w:szCs w:val="18"/>
              </w:rPr>
              <w:t xml:space="preserve"> </w:t>
            </w:r>
            <w:r w:rsidRPr="00D64458">
              <w:rPr>
                <w:rFonts w:ascii="Sylfaen" w:hAnsi="Sylfaen" w:cs="Sylfaen"/>
                <w:sz w:val="18"/>
                <w:szCs w:val="18"/>
              </w:rPr>
              <w:t>ცენტრებში</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59EE14F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1E480A8D"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005A11DB">
              <w:rPr>
                <w:rFonts w:ascii="Sylfaen" w:hAnsi="Sylfaen" w:cs="Calibri"/>
                <w:sz w:val="18"/>
                <w:szCs w:val="18"/>
                <w:lang w:val="ka-GE"/>
              </w:rPr>
              <w:t>სერვისის მიმწოდებელთა</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4CC9759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67B064A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511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42E8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3F95571"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3F4FD36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46DD9ED"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354E4C30"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17CDA748"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3AAE6" w14:textId="77777777" w:rsidR="00E50C46" w:rsidRDefault="00E50C46" w:rsidP="00352D1D">
      <w:r>
        <w:separator/>
      </w:r>
    </w:p>
  </w:endnote>
  <w:endnote w:type="continuationSeparator" w:id="0">
    <w:p w14:paraId="5887DA84" w14:textId="77777777" w:rsidR="00E50C46" w:rsidRDefault="00E50C46"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0568" w14:textId="77777777" w:rsidR="009C760E" w:rsidRDefault="009C760E"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9C760E" w:rsidRDefault="009C760E" w:rsidP="003444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7620" w14:textId="239FABF7" w:rsidR="009C760E" w:rsidRDefault="009C760E"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D18">
      <w:rPr>
        <w:rStyle w:val="PageNumber"/>
        <w:noProof/>
      </w:rPr>
      <w:t>44</w:t>
    </w:r>
    <w:r>
      <w:rPr>
        <w:rStyle w:val="PageNumber"/>
      </w:rPr>
      <w:fldChar w:fldCharType="end"/>
    </w:r>
  </w:p>
  <w:p w14:paraId="03A05636" w14:textId="77777777" w:rsidR="009C760E" w:rsidRDefault="009C760E" w:rsidP="003444A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D3E1E" w14:textId="77777777" w:rsidR="00E50C46" w:rsidRDefault="00E50C46" w:rsidP="00352D1D">
      <w:r>
        <w:separator/>
      </w:r>
    </w:p>
  </w:footnote>
  <w:footnote w:type="continuationSeparator" w:id="0">
    <w:p w14:paraId="0CB44EEF" w14:textId="77777777" w:rsidR="00E50C46" w:rsidRDefault="00E50C46" w:rsidP="00352D1D">
      <w:r>
        <w:continuationSeparator/>
      </w:r>
    </w:p>
  </w:footnote>
  <w:footnote w:id="1">
    <w:p w14:paraId="2CCC9226" w14:textId="6331A25A" w:rsidR="009C760E" w:rsidRPr="00CB06F0" w:rsidRDefault="009C760E" w:rsidP="00297566">
      <w:pPr>
        <w:rPr>
          <w:sz w:val="16"/>
          <w:szCs w:val="16"/>
          <w:lang w:val="ka-GE"/>
        </w:rPr>
      </w:pPr>
      <w:r w:rsidRPr="00CB06F0">
        <w:rPr>
          <w:rStyle w:val="FootnoteReference"/>
          <w:sz w:val="16"/>
          <w:szCs w:val="16"/>
        </w:rPr>
        <w:footnoteRef/>
      </w:r>
      <w:r w:rsidRPr="00CB06F0">
        <w:rPr>
          <w:sz w:val="16"/>
          <w:szCs w:val="16"/>
        </w:rPr>
        <w:t xml:space="preserve"> </w:t>
      </w:r>
      <w:r w:rsidRPr="00CB06F0">
        <w:rPr>
          <w:rFonts w:ascii="Sylfaen" w:eastAsia="Sylfaen" w:hAnsi="Sylfaen"/>
          <w:sz w:val="16"/>
          <w:szCs w:val="16"/>
        </w:rPr>
        <w:t xml:space="preserve">WHO.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9C760E" w:rsidRPr="00D32713" w:rsidRDefault="009C760E" w:rsidP="00297566">
      <w:r w:rsidRPr="00CB06F0">
        <w:rPr>
          <w:rStyle w:val="FootnoteReference"/>
          <w:sz w:val="16"/>
          <w:szCs w:val="16"/>
        </w:rPr>
        <w:footnoteRef/>
      </w:r>
      <w:r w:rsidRPr="00CB06F0">
        <w:rPr>
          <w:sz w:val="16"/>
          <w:szCs w:val="16"/>
        </w:rPr>
        <w:t xml:space="preserve"> UN. Sustainabel Developmen Goals. </w:t>
      </w:r>
      <w:hyperlink r:id="rId2" w:history="1">
        <w:r w:rsidRPr="00CB06F0">
          <w:rPr>
            <w:rStyle w:val="Hyperlink"/>
            <w:rFonts w:eastAsiaTheme="majorEastAsia"/>
            <w:sz w:val="16"/>
            <w:szCs w:val="16"/>
          </w:rPr>
          <w:t>https://sustainabledevelopment.un.org/sdg3</w:t>
        </w:r>
      </w:hyperlink>
    </w:p>
  </w:footnote>
  <w:footnote w:id="3">
    <w:p w14:paraId="36D98E58" w14:textId="573D4F85"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3" w:history="1">
        <w:r w:rsidRPr="00CB06F0">
          <w:rPr>
            <w:rStyle w:val="Hyperlink"/>
            <w:rFonts w:eastAsiaTheme="majorEastAsia"/>
            <w:sz w:val="16"/>
            <w:szCs w:val="16"/>
          </w:rPr>
          <w:t>https://www.moh.gov.ge/ka/566/jandacvis-erovnuli-angariSebi</w:t>
        </w:r>
      </w:hyperlink>
    </w:p>
  </w:footnote>
  <w:footnote w:id="4">
    <w:p w14:paraId="7F922D5B" w14:textId="1E508E11" w:rsidR="009C760E" w:rsidRPr="00CB06F0" w:rsidRDefault="009C760E">
      <w:pPr>
        <w:pStyle w:val="FootnoteText"/>
        <w:rPr>
          <w:sz w:val="16"/>
          <w:szCs w:val="16"/>
        </w:rPr>
      </w:pPr>
      <w:r w:rsidRPr="00CB06F0">
        <w:rPr>
          <w:rStyle w:val="FootnoteReference"/>
          <w:sz w:val="16"/>
          <w:szCs w:val="16"/>
        </w:rPr>
        <w:footnoteRef/>
      </w:r>
      <w:r w:rsidRPr="00CB06F0">
        <w:rPr>
          <w:sz w:val="16"/>
          <w:szCs w:val="16"/>
        </w:rPr>
        <w:t xml:space="preserve"> Hawkin L.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9C760E" w:rsidRPr="00CB06F0" w:rsidRDefault="009C760E"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9C760E" w:rsidRPr="00297566" w:rsidRDefault="009C760E">
      <w:pPr>
        <w:pStyle w:val="FootnoteText"/>
        <w:rPr>
          <w:rFonts w:ascii="Sylfaen" w:hAnsi="Sylfaen"/>
          <w:lang w:val="en-GB"/>
        </w:rPr>
      </w:pPr>
    </w:p>
  </w:footnote>
  <w:footnote w:id="6">
    <w:p w14:paraId="760C8A73" w14:textId="2A9857FA" w:rsidR="009C760E" w:rsidRPr="00CB06F0" w:rsidRDefault="009C760E" w:rsidP="001370F7">
      <w:pPr>
        <w:pStyle w:val="FootnoteText"/>
        <w:jc w:val="both"/>
        <w:rPr>
          <w:bCs/>
          <w:sz w:val="16"/>
          <w:szCs w:val="16"/>
          <w:lang w:val="en-GB"/>
        </w:rPr>
      </w:pPr>
      <w:r w:rsidRPr="00CB06F0">
        <w:rPr>
          <w:rStyle w:val="FootnoteReference"/>
          <w:sz w:val="16"/>
          <w:szCs w:val="16"/>
        </w:rPr>
        <w:footnoteRef/>
      </w:r>
      <w:r w:rsidRPr="00CB06F0">
        <w:rPr>
          <w:rFonts w:ascii="Sylfaen" w:hAnsi="Sylfaen" w:cs="Sylfaen"/>
          <w:bCs/>
          <w:sz w:val="16"/>
          <w:szCs w:val="16"/>
          <w:lang w:val="en-GB"/>
        </w:rPr>
        <w:t>მომდევნო</w:t>
      </w:r>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9C760E" w:rsidRPr="00CB06F0" w:rsidRDefault="009C760E"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4" w:history="1">
        <w:r w:rsidRPr="00CB06F0">
          <w:rPr>
            <w:rStyle w:val="Hyperlink"/>
            <w:rFonts w:eastAsiaTheme="majorEastAsia"/>
            <w:sz w:val="16"/>
            <w:szCs w:val="16"/>
          </w:rPr>
          <w:t>https://www.geostat.ge/ka/modules/categories/23/mtliani-shida-produkti-mshp</w:t>
        </w:r>
      </w:hyperlink>
    </w:p>
  </w:footnote>
  <w:footnote w:id="8">
    <w:p w14:paraId="340B2F1E" w14:textId="14141A24" w:rsidR="009C760E" w:rsidRPr="00CB06F0" w:rsidRDefault="009C760E"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9C760E" w:rsidRPr="00CB06F0" w:rsidRDefault="009C760E"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5"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6" w:history="1">
        <w:r w:rsidRPr="00CB06F0">
          <w:rPr>
            <w:rStyle w:val="Hyperlink"/>
            <w:rFonts w:eastAsiaTheme="majorEastAsia"/>
            <w:sz w:val="16"/>
            <w:szCs w:val="16"/>
          </w:rPr>
          <w:t>https://www.geostat.ge/ka/modules/categories/192/tskhovrebis-done</w:t>
        </w:r>
      </w:hyperlink>
    </w:p>
  </w:footnote>
  <w:footnote w:id="10">
    <w:p w14:paraId="004C62A0" w14:textId="20D35251" w:rsidR="009C760E" w:rsidRPr="00352A41" w:rsidRDefault="009C760E"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2">
    <w:p w14:paraId="5E6EBFCA" w14:textId="0A38579F"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8"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9C760E" w:rsidRPr="00352A41" w:rsidRDefault="009C760E">
      <w:pPr>
        <w:pStyle w:val="FootnoteText"/>
        <w:rPr>
          <w:rFonts w:ascii="Sylfaen" w:hAnsi="Sylfaen"/>
          <w:lang w:val="ka-GE"/>
        </w:rPr>
      </w:pPr>
      <w:r w:rsidRPr="00CB06F0">
        <w:rPr>
          <w:rStyle w:val="FootnoteReference"/>
          <w:sz w:val="16"/>
          <w:szCs w:val="16"/>
        </w:rPr>
        <w:footnoteRef/>
      </w:r>
      <w:r w:rsidRPr="00570FDF">
        <w:rPr>
          <w:sz w:val="16"/>
          <w:szCs w:val="16"/>
          <w:lang w:val="ka-GE"/>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9" w:history="1">
        <w:r w:rsidRPr="00570FDF">
          <w:rPr>
            <w:rStyle w:val="Hyperlink"/>
            <w:rFonts w:eastAsiaTheme="majorEastAsia"/>
            <w:sz w:val="16"/>
            <w:szCs w:val="16"/>
            <w:lang w:val="ka-GE"/>
          </w:rPr>
          <w:t>https://www.geostat.ge/ka/modules/categories/26/samomkhmareblo-fasebis-indeksi-inflatsia</w:t>
        </w:r>
      </w:hyperlink>
    </w:p>
  </w:footnote>
  <w:footnote w:id="15">
    <w:p w14:paraId="5B95E40D" w14:textId="784D0CD8"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10" w:history="1">
        <w:r w:rsidRPr="00CB06F0">
          <w:rPr>
            <w:rStyle w:val="Hyperlink"/>
            <w:rFonts w:eastAsiaTheme="majorEastAsia"/>
            <w:sz w:val="16"/>
            <w:szCs w:val="16"/>
            <w:lang w:val="ka-GE"/>
          </w:rPr>
          <w:t>https://www.moh.gov.ge/ka/566/jandacvis-erovnuli-angariSebi</w:t>
        </w:r>
      </w:hyperlink>
    </w:p>
  </w:footnote>
  <w:footnote w:id="18">
    <w:p w14:paraId="2D311172" w14:textId="77777777" w:rsidR="009C760E" w:rsidRPr="00F063D7" w:rsidRDefault="009C760E"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9C760E" w:rsidRPr="009E2812" w:rsidRDefault="009C760E">
      <w:pPr>
        <w:pStyle w:val="FootnoteText"/>
        <w:rPr>
          <w:sz w:val="16"/>
          <w:szCs w:val="16"/>
          <w:lang w:val="ka-GE"/>
        </w:rPr>
      </w:pPr>
      <w:r w:rsidRPr="00F063D7">
        <w:rPr>
          <w:rStyle w:val="FootnoteReference"/>
          <w:sz w:val="16"/>
          <w:szCs w:val="16"/>
        </w:rPr>
        <w:footnoteRef/>
      </w:r>
      <w:r w:rsidRPr="00570FDF">
        <w:rPr>
          <w:rFonts w:ascii="Sylfaen" w:hAnsi="Sylfaen" w:cs="Sylfaen"/>
          <w:sz w:val="16"/>
          <w:szCs w:val="16"/>
          <w:lang w:val="ka-GE"/>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570FDF">
        <w:rPr>
          <w:sz w:val="16"/>
          <w:szCs w:val="16"/>
          <w:lang w:val="ka-GE"/>
        </w:rPr>
        <w:t xml:space="preserve">. </w:t>
      </w:r>
      <w:r w:rsidRPr="00570FDF">
        <w:rPr>
          <w:rFonts w:ascii="Sylfaen" w:hAnsi="Sylfaen" w:cs="Sylfaen"/>
          <w:sz w:val="16"/>
          <w:szCs w:val="16"/>
          <w:lang w:val="ka-GE"/>
        </w:rPr>
        <w:t>ასევეგანხილულიასაინფორმაციოტექნოლოგიებისდაადამიანურირესურსებისმართვისერთეულები</w:t>
      </w:r>
      <w:r w:rsidRPr="00570FDF">
        <w:rPr>
          <w:sz w:val="16"/>
          <w:szCs w:val="16"/>
          <w:lang w:val="ka-GE"/>
        </w:rPr>
        <w:t xml:space="preserve">, </w:t>
      </w:r>
      <w:r w:rsidRPr="00570FDF">
        <w:rPr>
          <w:rFonts w:ascii="Sylfaen" w:hAnsi="Sylfaen" w:cs="Sylfaen"/>
          <w:sz w:val="16"/>
          <w:szCs w:val="16"/>
          <w:lang w:val="ka-GE"/>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570FDF">
        <w:rPr>
          <w:rFonts w:ascii="Sylfaen" w:hAnsi="Sylfaen" w:cs="Sylfaen"/>
          <w:sz w:val="16"/>
          <w:szCs w:val="16"/>
          <w:lang w:val="ka-GE"/>
        </w:rPr>
        <w:t>არებისმართვას</w:t>
      </w:r>
    </w:p>
  </w:footnote>
  <w:footnote w:id="20">
    <w:p w14:paraId="7C1E0613" w14:textId="15A49755" w:rsidR="009C760E" w:rsidRPr="00DA0A55" w:rsidRDefault="009C760E"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9C760E" w:rsidRPr="00DA0A55" w:rsidRDefault="009C760E">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9C760E" w:rsidRPr="00DA0A55" w:rsidRDefault="009C760E">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9C760E" w:rsidRPr="00DA0A55" w:rsidRDefault="009C760E">
      <w:pPr>
        <w:pStyle w:val="FootnoteText"/>
        <w:rPr>
          <w:rFonts w:ascii="Sylfaen" w:hAnsi="Sylfaen"/>
          <w:sz w:val="16"/>
          <w:szCs w:val="16"/>
          <w:lang w:val="ka-GE"/>
        </w:rPr>
      </w:pPr>
      <w:r w:rsidRPr="00DA0A55">
        <w:rPr>
          <w:rStyle w:val="FootnoteReference"/>
          <w:sz w:val="16"/>
          <w:szCs w:val="16"/>
        </w:rPr>
        <w:footnoteRef/>
      </w:r>
      <w:r w:rsidRPr="00570FDF">
        <w:rPr>
          <w:sz w:val="16"/>
          <w:szCs w:val="16"/>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1" w:history="1">
        <w:r w:rsidRPr="00570FDF">
          <w:rPr>
            <w:rStyle w:val="Hyperlink"/>
            <w:rFonts w:eastAsiaTheme="majorEastAsia"/>
            <w:sz w:val="16"/>
            <w:szCs w:val="16"/>
            <w:lang w:val="ka-GE"/>
          </w:rPr>
          <w:t>https://www.moh.gov.ge/ka/566/jandacvis-erovnuli-angariSebi</w:t>
        </w:r>
      </w:hyperlink>
    </w:p>
  </w:footnote>
  <w:footnote w:id="24">
    <w:p w14:paraId="704CCCC2" w14:textId="117D1F4F" w:rsidR="009C760E" w:rsidRPr="00FB4841" w:rsidRDefault="009C760E">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5">
    <w:p w14:paraId="7B8AAA7C" w14:textId="5734AB55" w:rsidR="009C760E" w:rsidRPr="00FB4841" w:rsidRDefault="009C760E">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2" w:history="1">
        <w:r w:rsidRPr="00FB4841">
          <w:rPr>
            <w:rStyle w:val="Hyperlink"/>
            <w:rFonts w:eastAsiaTheme="majorEastAsia"/>
            <w:sz w:val="16"/>
            <w:szCs w:val="16"/>
            <w:lang w:val="ka-GE"/>
          </w:rPr>
          <w:t>https://www.moh.gov.ge/ka/566/jandacvis-erovnuli-angariSebi</w:t>
        </w:r>
      </w:hyperlink>
    </w:p>
  </w:footnote>
  <w:footnote w:id="26">
    <w:p w14:paraId="67C66300" w14:textId="4CD3F740" w:rsidR="009C760E" w:rsidRPr="00570FDF" w:rsidRDefault="009C760E">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9C760E" w:rsidRPr="00570FDF" w:rsidRDefault="009C760E">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9C760E" w:rsidRPr="00A244AB" w:rsidRDefault="009C760E">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9C760E" w:rsidRPr="00A244AB" w:rsidRDefault="009C760E"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9C760E" w:rsidRPr="001370F7" w:rsidRDefault="009C760E">
      <w:pPr>
        <w:pStyle w:val="FootnoteText"/>
        <w:rPr>
          <w:lang w:val="ka-GE"/>
        </w:rPr>
      </w:pPr>
    </w:p>
  </w:footnote>
  <w:footnote w:id="30">
    <w:p w14:paraId="61F3A1A6" w14:textId="25938956" w:rsidR="009C760E" w:rsidRPr="00A244AB" w:rsidRDefault="009C760E">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9C760E" w:rsidRPr="00A244AB" w:rsidRDefault="009C760E">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3" w:history="1">
        <w:r w:rsidRPr="00FB4841">
          <w:rPr>
            <w:rStyle w:val="Hyperlink"/>
            <w:rFonts w:eastAsiaTheme="majorEastAsia"/>
            <w:sz w:val="16"/>
            <w:szCs w:val="16"/>
            <w:lang w:val="ka-GE"/>
          </w:rPr>
          <w:t>https://www.moh.gov.ge/ka/566/jandacvis-erovnuli-angariSebi</w:t>
        </w:r>
      </w:hyperlink>
    </w:p>
  </w:footnote>
  <w:footnote w:id="32">
    <w:p w14:paraId="5E44A717" w14:textId="229F513D" w:rsidR="009C760E" w:rsidRPr="002A2F46" w:rsidRDefault="009C760E">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9C760E" w:rsidRPr="002A2F46" w:rsidRDefault="009C760E">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2465"/>
    <w:rsid w:val="00003025"/>
    <w:rsid w:val="00003732"/>
    <w:rsid w:val="00004C22"/>
    <w:rsid w:val="0000650F"/>
    <w:rsid w:val="00007EAA"/>
    <w:rsid w:val="00007EB7"/>
    <w:rsid w:val="00013966"/>
    <w:rsid w:val="000140BD"/>
    <w:rsid w:val="000210B9"/>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1F80"/>
    <w:rsid w:val="00062CC5"/>
    <w:rsid w:val="00063D95"/>
    <w:rsid w:val="00064DDC"/>
    <w:rsid w:val="00066C8A"/>
    <w:rsid w:val="00070A81"/>
    <w:rsid w:val="00071B6C"/>
    <w:rsid w:val="00071C28"/>
    <w:rsid w:val="000741F7"/>
    <w:rsid w:val="00074D0F"/>
    <w:rsid w:val="00074D61"/>
    <w:rsid w:val="00076645"/>
    <w:rsid w:val="00077B49"/>
    <w:rsid w:val="00082831"/>
    <w:rsid w:val="000850FF"/>
    <w:rsid w:val="000864A3"/>
    <w:rsid w:val="00086612"/>
    <w:rsid w:val="000900D1"/>
    <w:rsid w:val="00091F8D"/>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C6F6A"/>
    <w:rsid w:val="000D372E"/>
    <w:rsid w:val="000D3A19"/>
    <w:rsid w:val="000E0D16"/>
    <w:rsid w:val="000E315D"/>
    <w:rsid w:val="000E6FF7"/>
    <w:rsid w:val="000E7C74"/>
    <w:rsid w:val="000F13A9"/>
    <w:rsid w:val="000F15A3"/>
    <w:rsid w:val="000F3EE1"/>
    <w:rsid w:val="00104306"/>
    <w:rsid w:val="00105312"/>
    <w:rsid w:val="00106D06"/>
    <w:rsid w:val="001076DE"/>
    <w:rsid w:val="00114917"/>
    <w:rsid w:val="00115A98"/>
    <w:rsid w:val="0012102C"/>
    <w:rsid w:val="00123FEB"/>
    <w:rsid w:val="00124579"/>
    <w:rsid w:val="00124D4F"/>
    <w:rsid w:val="001305CF"/>
    <w:rsid w:val="00134315"/>
    <w:rsid w:val="00134E67"/>
    <w:rsid w:val="001370F7"/>
    <w:rsid w:val="00140722"/>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1399"/>
    <w:rsid w:val="00174457"/>
    <w:rsid w:val="00174F5E"/>
    <w:rsid w:val="0017635B"/>
    <w:rsid w:val="00180DDB"/>
    <w:rsid w:val="001812AC"/>
    <w:rsid w:val="00181353"/>
    <w:rsid w:val="00183E69"/>
    <w:rsid w:val="00184687"/>
    <w:rsid w:val="0019493E"/>
    <w:rsid w:val="00195E1A"/>
    <w:rsid w:val="001A04B6"/>
    <w:rsid w:val="001A1385"/>
    <w:rsid w:val="001A2F92"/>
    <w:rsid w:val="001A4D68"/>
    <w:rsid w:val="001A7E5F"/>
    <w:rsid w:val="001B0F69"/>
    <w:rsid w:val="001B148E"/>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69E"/>
    <w:rsid w:val="00250D0B"/>
    <w:rsid w:val="00250F2C"/>
    <w:rsid w:val="00251878"/>
    <w:rsid w:val="00254443"/>
    <w:rsid w:val="002550D8"/>
    <w:rsid w:val="0025561C"/>
    <w:rsid w:val="00257049"/>
    <w:rsid w:val="002577D7"/>
    <w:rsid w:val="00257B76"/>
    <w:rsid w:val="002605B8"/>
    <w:rsid w:val="00262317"/>
    <w:rsid w:val="002626F8"/>
    <w:rsid w:val="00262AAC"/>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00A"/>
    <w:rsid w:val="0033070E"/>
    <w:rsid w:val="00330A9F"/>
    <w:rsid w:val="003347EB"/>
    <w:rsid w:val="00334DE6"/>
    <w:rsid w:val="00335107"/>
    <w:rsid w:val="0033661A"/>
    <w:rsid w:val="003367FA"/>
    <w:rsid w:val="00337EB5"/>
    <w:rsid w:val="00337F16"/>
    <w:rsid w:val="003444A3"/>
    <w:rsid w:val="003445AB"/>
    <w:rsid w:val="00350318"/>
    <w:rsid w:val="00352699"/>
    <w:rsid w:val="00352A41"/>
    <w:rsid w:val="00352D1D"/>
    <w:rsid w:val="00352ED5"/>
    <w:rsid w:val="00354E96"/>
    <w:rsid w:val="0035693F"/>
    <w:rsid w:val="00360033"/>
    <w:rsid w:val="003635AC"/>
    <w:rsid w:val="003638A7"/>
    <w:rsid w:val="0036519B"/>
    <w:rsid w:val="003715DA"/>
    <w:rsid w:val="00372994"/>
    <w:rsid w:val="0037677A"/>
    <w:rsid w:val="00377E16"/>
    <w:rsid w:val="0038193D"/>
    <w:rsid w:val="003822B1"/>
    <w:rsid w:val="0038325B"/>
    <w:rsid w:val="0038669C"/>
    <w:rsid w:val="00386FF3"/>
    <w:rsid w:val="00392834"/>
    <w:rsid w:val="00392918"/>
    <w:rsid w:val="0039377F"/>
    <w:rsid w:val="003951F1"/>
    <w:rsid w:val="00395A25"/>
    <w:rsid w:val="00396FFB"/>
    <w:rsid w:val="003A1682"/>
    <w:rsid w:val="003A17D9"/>
    <w:rsid w:val="003A302A"/>
    <w:rsid w:val="003A4AE4"/>
    <w:rsid w:val="003A6883"/>
    <w:rsid w:val="003B1503"/>
    <w:rsid w:val="003B169D"/>
    <w:rsid w:val="003B173A"/>
    <w:rsid w:val="003B254E"/>
    <w:rsid w:val="003B5CB7"/>
    <w:rsid w:val="003B6578"/>
    <w:rsid w:val="003B6F0B"/>
    <w:rsid w:val="003B7534"/>
    <w:rsid w:val="003B79BC"/>
    <w:rsid w:val="003C0973"/>
    <w:rsid w:val="003C1180"/>
    <w:rsid w:val="003C1C85"/>
    <w:rsid w:val="003C32D2"/>
    <w:rsid w:val="003C3A84"/>
    <w:rsid w:val="003C436E"/>
    <w:rsid w:val="003C4996"/>
    <w:rsid w:val="003C4C52"/>
    <w:rsid w:val="003C6B5E"/>
    <w:rsid w:val="003C7413"/>
    <w:rsid w:val="003C7567"/>
    <w:rsid w:val="003C7592"/>
    <w:rsid w:val="003D60B0"/>
    <w:rsid w:val="003E07D1"/>
    <w:rsid w:val="003E1123"/>
    <w:rsid w:val="003E399D"/>
    <w:rsid w:val="003E5368"/>
    <w:rsid w:val="003E7190"/>
    <w:rsid w:val="003E7F20"/>
    <w:rsid w:val="003F1A58"/>
    <w:rsid w:val="003F2677"/>
    <w:rsid w:val="003F5DFF"/>
    <w:rsid w:val="00401B12"/>
    <w:rsid w:val="00403AB9"/>
    <w:rsid w:val="0040481E"/>
    <w:rsid w:val="00404911"/>
    <w:rsid w:val="00404C76"/>
    <w:rsid w:val="00406B9D"/>
    <w:rsid w:val="00406E8E"/>
    <w:rsid w:val="004100A5"/>
    <w:rsid w:val="00412EA3"/>
    <w:rsid w:val="004240E1"/>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2CC7"/>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3F53"/>
    <w:rsid w:val="004C79F3"/>
    <w:rsid w:val="004C7C65"/>
    <w:rsid w:val="004D459D"/>
    <w:rsid w:val="004D45C0"/>
    <w:rsid w:val="004D4854"/>
    <w:rsid w:val="004D5108"/>
    <w:rsid w:val="004D6D27"/>
    <w:rsid w:val="004D792F"/>
    <w:rsid w:val="004E162D"/>
    <w:rsid w:val="004E396F"/>
    <w:rsid w:val="004E3F6D"/>
    <w:rsid w:val="004E60B0"/>
    <w:rsid w:val="004E6153"/>
    <w:rsid w:val="004E626E"/>
    <w:rsid w:val="004E7296"/>
    <w:rsid w:val="004F0501"/>
    <w:rsid w:val="004F2916"/>
    <w:rsid w:val="004F34F0"/>
    <w:rsid w:val="004F3FAC"/>
    <w:rsid w:val="004F6932"/>
    <w:rsid w:val="004F6F15"/>
    <w:rsid w:val="0050117C"/>
    <w:rsid w:val="00504525"/>
    <w:rsid w:val="005102F9"/>
    <w:rsid w:val="00512805"/>
    <w:rsid w:val="00514AD2"/>
    <w:rsid w:val="00517185"/>
    <w:rsid w:val="005235F4"/>
    <w:rsid w:val="00525804"/>
    <w:rsid w:val="00533448"/>
    <w:rsid w:val="00533E8D"/>
    <w:rsid w:val="00534D5A"/>
    <w:rsid w:val="00535A21"/>
    <w:rsid w:val="00536731"/>
    <w:rsid w:val="0053676C"/>
    <w:rsid w:val="00536B61"/>
    <w:rsid w:val="00543407"/>
    <w:rsid w:val="00544BCA"/>
    <w:rsid w:val="005457D0"/>
    <w:rsid w:val="005525F8"/>
    <w:rsid w:val="00553584"/>
    <w:rsid w:val="005539C5"/>
    <w:rsid w:val="0055437D"/>
    <w:rsid w:val="005547EC"/>
    <w:rsid w:val="00555A56"/>
    <w:rsid w:val="00555D01"/>
    <w:rsid w:val="00557D19"/>
    <w:rsid w:val="00560D77"/>
    <w:rsid w:val="00561D5A"/>
    <w:rsid w:val="005654B3"/>
    <w:rsid w:val="0056758E"/>
    <w:rsid w:val="00570FDF"/>
    <w:rsid w:val="00571DEE"/>
    <w:rsid w:val="0057204E"/>
    <w:rsid w:val="005744E0"/>
    <w:rsid w:val="00580BAE"/>
    <w:rsid w:val="00583F6B"/>
    <w:rsid w:val="00586E28"/>
    <w:rsid w:val="0059210D"/>
    <w:rsid w:val="005971E3"/>
    <w:rsid w:val="00597D36"/>
    <w:rsid w:val="005A01DE"/>
    <w:rsid w:val="005A11DB"/>
    <w:rsid w:val="005A2322"/>
    <w:rsid w:val="005A3C91"/>
    <w:rsid w:val="005A4F48"/>
    <w:rsid w:val="005A74D8"/>
    <w:rsid w:val="005B1087"/>
    <w:rsid w:val="005B2386"/>
    <w:rsid w:val="005B429A"/>
    <w:rsid w:val="005B4D92"/>
    <w:rsid w:val="005B5AEC"/>
    <w:rsid w:val="005C03D8"/>
    <w:rsid w:val="005C03F5"/>
    <w:rsid w:val="005C0E00"/>
    <w:rsid w:val="005C34E3"/>
    <w:rsid w:val="005C3C14"/>
    <w:rsid w:val="005C4FED"/>
    <w:rsid w:val="005C68B7"/>
    <w:rsid w:val="005D1126"/>
    <w:rsid w:val="005D39CA"/>
    <w:rsid w:val="005D6F4F"/>
    <w:rsid w:val="005D718C"/>
    <w:rsid w:val="005E1550"/>
    <w:rsid w:val="005E1628"/>
    <w:rsid w:val="005E1A84"/>
    <w:rsid w:val="005E2436"/>
    <w:rsid w:val="005E26AE"/>
    <w:rsid w:val="005E5963"/>
    <w:rsid w:val="005F0531"/>
    <w:rsid w:val="005F1C61"/>
    <w:rsid w:val="005F660B"/>
    <w:rsid w:val="005F67F3"/>
    <w:rsid w:val="005F6E04"/>
    <w:rsid w:val="005F7256"/>
    <w:rsid w:val="006016CB"/>
    <w:rsid w:val="00604A6A"/>
    <w:rsid w:val="006078D1"/>
    <w:rsid w:val="00616D2A"/>
    <w:rsid w:val="00620C37"/>
    <w:rsid w:val="006236DF"/>
    <w:rsid w:val="00623D18"/>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58DD"/>
    <w:rsid w:val="006663FF"/>
    <w:rsid w:val="00666955"/>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206"/>
    <w:rsid w:val="0068734C"/>
    <w:rsid w:val="0069424E"/>
    <w:rsid w:val="00696C4F"/>
    <w:rsid w:val="00696E07"/>
    <w:rsid w:val="00697761"/>
    <w:rsid w:val="00697B13"/>
    <w:rsid w:val="006A1E4E"/>
    <w:rsid w:val="006A60A5"/>
    <w:rsid w:val="006B0A56"/>
    <w:rsid w:val="006B10C2"/>
    <w:rsid w:val="006B1E5C"/>
    <w:rsid w:val="006B316B"/>
    <w:rsid w:val="006B3A5E"/>
    <w:rsid w:val="006C031E"/>
    <w:rsid w:val="006C353B"/>
    <w:rsid w:val="006C3EFC"/>
    <w:rsid w:val="006C62B3"/>
    <w:rsid w:val="006C6A0C"/>
    <w:rsid w:val="006C7317"/>
    <w:rsid w:val="006C73F8"/>
    <w:rsid w:val="006D764B"/>
    <w:rsid w:val="006E1BFA"/>
    <w:rsid w:val="006E1E46"/>
    <w:rsid w:val="006E21BC"/>
    <w:rsid w:val="006E30D7"/>
    <w:rsid w:val="006E4F3D"/>
    <w:rsid w:val="006E55A9"/>
    <w:rsid w:val="006E5694"/>
    <w:rsid w:val="006E642A"/>
    <w:rsid w:val="006E7386"/>
    <w:rsid w:val="006F7E3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5E09"/>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971AB"/>
    <w:rsid w:val="007A1920"/>
    <w:rsid w:val="007A1E9D"/>
    <w:rsid w:val="007A3235"/>
    <w:rsid w:val="007A5389"/>
    <w:rsid w:val="007A7402"/>
    <w:rsid w:val="007B1AE9"/>
    <w:rsid w:val="007B21E3"/>
    <w:rsid w:val="007B3192"/>
    <w:rsid w:val="007B43C3"/>
    <w:rsid w:val="007B5616"/>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293D"/>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0927"/>
    <w:rsid w:val="00885646"/>
    <w:rsid w:val="008868A6"/>
    <w:rsid w:val="00891C8A"/>
    <w:rsid w:val="00892E13"/>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C6A56"/>
    <w:rsid w:val="008D1F85"/>
    <w:rsid w:val="008D2CC0"/>
    <w:rsid w:val="008D38DF"/>
    <w:rsid w:val="008D3D36"/>
    <w:rsid w:val="008D4C8D"/>
    <w:rsid w:val="008D50C6"/>
    <w:rsid w:val="008E0B0C"/>
    <w:rsid w:val="008E2D0C"/>
    <w:rsid w:val="008E5332"/>
    <w:rsid w:val="008F223A"/>
    <w:rsid w:val="008F4CB8"/>
    <w:rsid w:val="008F4DF4"/>
    <w:rsid w:val="008F786B"/>
    <w:rsid w:val="00900E87"/>
    <w:rsid w:val="0090123D"/>
    <w:rsid w:val="00912EAE"/>
    <w:rsid w:val="00913662"/>
    <w:rsid w:val="009152F2"/>
    <w:rsid w:val="00924832"/>
    <w:rsid w:val="00924E84"/>
    <w:rsid w:val="0092537C"/>
    <w:rsid w:val="0092760F"/>
    <w:rsid w:val="00932CF8"/>
    <w:rsid w:val="00933278"/>
    <w:rsid w:val="0093386F"/>
    <w:rsid w:val="00933C3C"/>
    <w:rsid w:val="009358DA"/>
    <w:rsid w:val="009369C6"/>
    <w:rsid w:val="009416F3"/>
    <w:rsid w:val="009502F6"/>
    <w:rsid w:val="009552CF"/>
    <w:rsid w:val="00955B9E"/>
    <w:rsid w:val="00957179"/>
    <w:rsid w:val="00957C84"/>
    <w:rsid w:val="00957D8A"/>
    <w:rsid w:val="009609B0"/>
    <w:rsid w:val="009619C6"/>
    <w:rsid w:val="00962FB8"/>
    <w:rsid w:val="00963170"/>
    <w:rsid w:val="0096384D"/>
    <w:rsid w:val="009647C8"/>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58D3"/>
    <w:rsid w:val="00997FB0"/>
    <w:rsid w:val="009A3C03"/>
    <w:rsid w:val="009A5E26"/>
    <w:rsid w:val="009B600F"/>
    <w:rsid w:val="009B6470"/>
    <w:rsid w:val="009B6EC9"/>
    <w:rsid w:val="009B7881"/>
    <w:rsid w:val="009C23AC"/>
    <w:rsid w:val="009C53DC"/>
    <w:rsid w:val="009C760E"/>
    <w:rsid w:val="009D6BC3"/>
    <w:rsid w:val="009D6DDB"/>
    <w:rsid w:val="009E14CC"/>
    <w:rsid w:val="009E2812"/>
    <w:rsid w:val="009E3710"/>
    <w:rsid w:val="009E46DF"/>
    <w:rsid w:val="009E4B1B"/>
    <w:rsid w:val="009E546D"/>
    <w:rsid w:val="009E5FDB"/>
    <w:rsid w:val="009E7305"/>
    <w:rsid w:val="009F3D4C"/>
    <w:rsid w:val="009F4D7A"/>
    <w:rsid w:val="009F50B4"/>
    <w:rsid w:val="009F6485"/>
    <w:rsid w:val="009F7D0F"/>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4F7"/>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57E53"/>
    <w:rsid w:val="00A603F0"/>
    <w:rsid w:val="00A636DE"/>
    <w:rsid w:val="00A649A4"/>
    <w:rsid w:val="00A66FFB"/>
    <w:rsid w:val="00A71A6A"/>
    <w:rsid w:val="00A750EC"/>
    <w:rsid w:val="00A76D8E"/>
    <w:rsid w:val="00A77272"/>
    <w:rsid w:val="00A80DE1"/>
    <w:rsid w:val="00A81C3A"/>
    <w:rsid w:val="00A834C8"/>
    <w:rsid w:val="00A83EC1"/>
    <w:rsid w:val="00A848BA"/>
    <w:rsid w:val="00A8601B"/>
    <w:rsid w:val="00A875C0"/>
    <w:rsid w:val="00A913BC"/>
    <w:rsid w:val="00A94127"/>
    <w:rsid w:val="00A95A53"/>
    <w:rsid w:val="00A95F67"/>
    <w:rsid w:val="00A963BB"/>
    <w:rsid w:val="00A97154"/>
    <w:rsid w:val="00AA14B8"/>
    <w:rsid w:val="00AB1300"/>
    <w:rsid w:val="00AB14E8"/>
    <w:rsid w:val="00AB1881"/>
    <w:rsid w:val="00AB1DA6"/>
    <w:rsid w:val="00AB2317"/>
    <w:rsid w:val="00AB2A0A"/>
    <w:rsid w:val="00AB3948"/>
    <w:rsid w:val="00AB4464"/>
    <w:rsid w:val="00AC1CF3"/>
    <w:rsid w:val="00AC287A"/>
    <w:rsid w:val="00AC3998"/>
    <w:rsid w:val="00AC613F"/>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3887"/>
    <w:rsid w:val="00B06620"/>
    <w:rsid w:val="00B13A03"/>
    <w:rsid w:val="00B16049"/>
    <w:rsid w:val="00B1763D"/>
    <w:rsid w:val="00B17ED6"/>
    <w:rsid w:val="00B23BD9"/>
    <w:rsid w:val="00B23EC3"/>
    <w:rsid w:val="00B27259"/>
    <w:rsid w:val="00B308E7"/>
    <w:rsid w:val="00B34676"/>
    <w:rsid w:val="00B40EB0"/>
    <w:rsid w:val="00B455AB"/>
    <w:rsid w:val="00B45CB5"/>
    <w:rsid w:val="00B46A6A"/>
    <w:rsid w:val="00B46F68"/>
    <w:rsid w:val="00B54080"/>
    <w:rsid w:val="00B555EA"/>
    <w:rsid w:val="00B5747D"/>
    <w:rsid w:val="00B57915"/>
    <w:rsid w:val="00B63503"/>
    <w:rsid w:val="00B65674"/>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58EC"/>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5D6"/>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3503"/>
    <w:rsid w:val="00C446E0"/>
    <w:rsid w:val="00C44BA9"/>
    <w:rsid w:val="00C4579D"/>
    <w:rsid w:val="00C462E4"/>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5CC5"/>
    <w:rsid w:val="00C67BE3"/>
    <w:rsid w:val="00C71040"/>
    <w:rsid w:val="00C73C0C"/>
    <w:rsid w:val="00C743CF"/>
    <w:rsid w:val="00C754C0"/>
    <w:rsid w:val="00C75A66"/>
    <w:rsid w:val="00C763E2"/>
    <w:rsid w:val="00C835A0"/>
    <w:rsid w:val="00C8609C"/>
    <w:rsid w:val="00C86235"/>
    <w:rsid w:val="00C86637"/>
    <w:rsid w:val="00C86E08"/>
    <w:rsid w:val="00C902E1"/>
    <w:rsid w:val="00C911A3"/>
    <w:rsid w:val="00C91AB8"/>
    <w:rsid w:val="00C928C2"/>
    <w:rsid w:val="00C92A13"/>
    <w:rsid w:val="00C932FC"/>
    <w:rsid w:val="00C94A7B"/>
    <w:rsid w:val="00C969B7"/>
    <w:rsid w:val="00CA0326"/>
    <w:rsid w:val="00CA1D11"/>
    <w:rsid w:val="00CA2054"/>
    <w:rsid w:val="00CA239C"/>
    <w:rsid w:val="00CA31F5"/>
    <w:rsid w:val="00CA4C50"/>
    <w:rsid w:val="00CA4E55"/>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1D4"/>
    <w:rsid w:val="00CF1213"/>
    <w:rsid w:val="00CF14D6"/>
    <w:rsid w:val="00CF3A10"/>
    <w:rsid w:val="00CF44EE"/>
    <w:rsid w:val="00CF61B9"/>
    <w:rsid w:val="00CF7815"/>
    <w:rsid w:val="00D01340"/>
    <w:rsid w:val="00D0263B"/>
    <w:rsid w:val="00D02A6B"/>
    <w:rsid w:val="00D04BB6"/>
    <w:rsid w:val="00D079CA"/>
    <w:rsid w:val="00D07CD1"/>
    <w:rsid w:val="00D1016C"/>
    <w:rsid w:val="00D11C46"/>
    <w:rsid w:val="00D14462"/>
    <w:rsid w:val="00D22B72"/>
    <w:rsid w:val="00D256D3"/>
    <w:rsid w:val="00D25F8D"/>
    <w:rsid w:val="00D260DB"/>
    <w:rsid w:val="00D31343"/>
    <w:rsid w:val="00D32015"/>
    <w:rsid w:val="00D32713"/>
    <w:rsid w:val="00D4782D"/>
    <w:rsid w:val="00D4785A"/>
    <w:rsid w:val="00D51B07"/>
    <w:rsid w:val="00D5212B"/>
    <w:rsid w:val="00D544F5"/>
    <w:rsid w:val="00D5588B"/>
    <w:rsid w:val="00D616E6"/>
    <w:rsid w:val="00D62391"/>
    <w:rsid w:val="00D64159"/>
    <w:rsid w:val="00D64458"/>
    <w:rsid w:val="00D64B35"/>
    <w:rsid w:val="00D6584A"/>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593"/>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0C46"/>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966FD"/>
    <w:rsid w:val="00EA0272"/>
    <w:rsid w:val="00EA0320"/>
    <w:rsid w:val="00EA0D3A"/>
    <w:rsid w:val="00EA1510"/>
    <w:rsid w:val="00EA21BA"/>
    <w:rsid w:val="00EA2A8D"/>
    <w:rsid w:val="00EA32F7"/>
    <w:rsid w:val="00EA357B"/>
    <w:rsid w:val="00EA413E"/>
    <w:rsid w:val="00EA6082"/>
    <w:rsid w:val="00EA60FD"/>
    <w:rsid w:val="00EA7B78"/>
    <w:rsid w:val="00EB0E80"/>
    <w:rsid w:val="00EB1F96"/>
    <w:rsid w:val="00EB2424"/>
    <w:rsid w:val="00EB24E8"/>
    <w:rsid w:val="00EB391A"/>
    <w:rsid w:val="00EB547C"/>
    <w:rsid w:val="00EC0B8D"/>
    <w:rsid w:val="00EC38E5"/>
    <w:rsid w:val="00EC7816"/>
    <w:rsid w:val="00ED1535"/>
    <w:rsid w:val="00ED2478"/>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0729"/>
    <w:rsid w:val="00F110B5"/>
    <w:rsid w:val="00F1240E"/>
    <w:rsid w:val="00F13739"/>
    <w:rsid w:val="00F17398"/>
    <w:rsid w:val="00F17473"/>
    <w:rsid w:val="00F17A20"/>
    <w:rsid w:val="00F208ED"/>
    <w:rsid w:val="00F21ED2"/>
    <w:rsid w:val="00F223BD"/>
    <w:rsid w:val="00F246B8"/>
    <w:rsid w:val="00F24751"/>
    <w:rsid w:val="00F260DE"/>
    <w:rsid w:val="00F2661F"/>
    <w:rsid w:val="00F26EF9"/>
    <w:rsid w:val="00F279F5"/>
    <w:rsid w:val="00F30ABF"/>
    <w:rsid w:val="00F347D4"/>
    <w:rsid w:val="00F35493"/>
    <w:rsid w:val="00F407D5"/>
    <w:rsid w:val="00F41BD7"/>
    <w:rsid w:val="00F4287D"/>
    <w:rsid w:val="00F42F8B"/>
    <w:rsid w:val="00F47EFE"/>
    <w:rsid w:val="00F517FE"/>
    <w:rsid w:val="00F568D7"/>
    <w:rsid w:val="00F61B73"/>
    <w:rsid w:val="00F61FF5"/>
    <w:rsid w:val="00F627DE"/>
    <w:rsid w:val="00F658BC"/>
    <w:rsid w:val="00F668D2"/>
    <w:rsid w:val="00F66E96"/>
    <w:rsid w:val="00F704DD"/>
    <w:rsid w:val="00F72964"/>
    <w:rsid w:val="00F72B95"/>
    <w:rsid w:val="00F72EA7"/>
    <w:rsid w:val="00F7324B"/>
    <w:rsid w:val="00F73EB1"/>
    <w:rsid w:val="00F74091"/>
    <w:rsid w:val="00F759D2"/>
    <w:rsid w:val="00F769C7"/>
    <w:rsid w:val="00F770D6"/>
    <w:rsid w:val="00F80E7F"/>
    <w:rsid w:val="00F81D13"/>
    <w:rsid w:val="00F83F0A"/>
    <w:rsid w:val="00F865D7"/>
    <w:rsid w:val="00F8679A"/>
    <w:rsid w:val="00F87462"/>
    <w:rsid w:val="00F9078F"/>
    <w:rsid w:val="00F937B8"/>
    <w:rsid w:val="00F94471"/>
    <w:rsid w:val="00F94757"/>
    <w:rsid w:val="00F96B90"/>
    <w:rsid w:val="00FA014B"/>
    <w:rsid w:val="00FA037D"/>
    <w:rsid w:val="00FA255F"/>
    <w:rsid w:val="00FA44E9"/>
    <w:rsid w:val="00FA4C89"/>
    <w:rsid w:val="00FA6F85"/>
    <w:rsid w:val="00FB4841"/>
    <w:rsid w:val="00FB555C"/>
    <w:rsid w:val="00FB632D"/>
    <w:rsid w:val="00FB6986"/>
    <w:rsid w:val="00FB7E5B"/>
    <w:rsid w:val="00FC17C7"/>
    <w:rsid w:val="00FC2944"/>
    <w:rsid w:val="00FC2E5A"/>
    <w:rsid w:val="00FC3575"/>
    <w:rsid w:val="00FC7D43"/>
    <w:rsid w:val="00FD50FD"/>
    <w:rsid w:val="00FD53B9"/>
    <w:rsid w:val="00FD7496"/>
    <w:rsid w:val="00FD74F6"/>
    <w:rsid w:val="00FD78DC"/>
    <w:rsid w:val="00FE10B1"/>
    <w:rsid w:val="00FE1252"/>
    <w:rsid w:val="00FE22AF"/>
    <w:rsid w:val="00FE5724"/>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A61DFBF4-3734-4735-9718-D70B5A60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221965">
      <w:bodyDiv w:val="1"/>
      <w:marLeft w:val="0"/>
      <w:marRight w:val="0"/>
      <w:marTop w:val="0"/>
      <w:marBottom w:val="0"/>
      <w:divBdr>
        <w:top w:val="none" w:sz="0" w:space="0" w:color="auto"/>
        <w:left w:val="none" w:sz="0" w:space="0" w:color="auto"/>
        <w:bottom w:val="none" w:sz="0" w:space="0" w:color="auto"/>
        <w:right w:val="none" w:sz="0" w:space="0" w:color="auto"/>
      </w:divBdr>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797943209">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54899376">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045267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f.ge/BDD" TargetMode="External"/><Relationship Id="rId18" Type="http://schemas.openxmlformats.org/officeDocument/2006/relationships/hyperlink" Target="https://www.who.int/health_financing/tools/diagnostic/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eostat.ge" TargetMode="External"/><Relationship Id="rId17" Type="http://schemas.openxmlformats.org/officeDocument/2006/relationships/hyperlink" Target="https://www.who.int/health_financing/tools/developing-health-financing-strategy/en/" TargetMode="External"/><Relationship Id="rId2" Type="http://schemas.openxmlformats.org/officeDocument/2006/relationships/numbering" Target="numbering.xml"/><Relationship Id="rId16" Type="http://schemas.openxmlformats.org/officeDocument/2006/relationships/hyperlink" Target="http://www.euro.who.int/en/countries/georgia/publications/the-functions-and-governance-of-purchasing-agencies-issues-and-options-for-georgia-2017" TargetMode="External"/><Relationship Id="rId20" Type="http://schemas.openxmlformats.org/officeDocument/2006/relationships/hyperlink" Target="https://www.who.int/en/news-room/fact-sheets/detail/universal-health-coverage-(uh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h.gov.ge/ka/566/jandacvis-erovnuli-angariSeb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uro.who.int/__data/assets/pdf_file/0008/374615/hit-georgia-eng.pdf" TargetMode="External"/><Relationship Id="rId23" Type="http://schemas.openxmlformats.org/officeDocument/2006/relationships/fontTable" Target="fontTable.xml"/><Relationship Id="rId10" Type="http://schemas.openxmlformats.org/officeDocument/2006/relationships/hyperlink" Target="http://gov.ge/index.php?lang_id=GEO&amp;sec_id=68&amp;info_id=67099" TargetMode="External"/><Relationship Id="rId19" Type="http://schemas.openxmlformats.org/officeDocument/2006/relationships/hyperlink" Target="https://www.who.int/en/news-room/fact-sheets/detail/universal-health-coverage-(uhc)" TargetMode="External"/><Relationship Id="rId4" Type="http://schemas.openxmlformats.org/officeDocument/2006/relationships/settings" Target="settings.xml"/><Relationship Id="rId9" Type="http://schemas.openxmlformats.org/officeDocument/2006/relationships/hyperlink" Target="http://www.ncdc.ge/Handlers/GetFile.ashx?ID=f7a28a1e-0489-49a0-b183-eb8674244541" TargetMode="External"/><Relationship Id="rId14" Type="http://schemas.openxmlformats.org/officeDocument/2006/relationships/hyperlink" Target="http://ssa.gov.ge/index.php?lang_id=GEO&amp;sec_id=803"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moh.gov.ge/ka/566/jandacvis-erovnuli-angariSebi" TargetMode="External"/><Relationship Id="rId13" Type="http://schemas.openxmlformats.org/officeDocument/2006/relationships/hyperlink" Target="https://www.moh.gov.ge/ka/566/jandacvis-erovnuli-angariSebi" TargetMode="External"/><Relationship Id="rId3" Type="http://schemas.openxmlformats.org/officeDocument/2006/relationships/hyperlink" Target="https://www.moh.gov.ge/ka/566/jandacvis-erovnuli-angariSebi" TargetMode="External"/><Relationship Id="rId7" Type="http://schemas.openxmlformats.org/officeDocument/2006/relationships/hyperlink" Target="https://www.moh.gov.ge/ka/566/jandacvis-erovnuli-angariSebi" TargetMode="External"/><Relationship Id="rId12"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geostat.ge/ka/modules/categories/192/tskhovrebis-done" TargetMode="External"/><Relationship Id="rId11" Type="http://schemas.openxmlformats.org/officeDocument/2006/relationships/hyperlink" Target="https://www.moh.gov.ge/ka/566/jandacvis-erovnuli-angariSebi" TargetMode="External"/><Relationship Id="rId5" Type="http://schemas.openxmlformats.org/officeDocument/2006/relationships/hyperlink" Target="https://www.geostat.ge/ka/modules/categories/38/dasakmeba-da-umushevroba" TargetMode="External"/><Relationship Id="rId10" Type="http://schemas.openxmlformats.org/officeDocument/2006/relationships/hyperlink" Target="https://www.moh.gov.ge/ka/566/jandacvis-erovnuli-angariSebi" TargetMode="External"/><Relationship Id="rId4" Type="http://schemas.openxmlformats.org/officeDocument/2006/relationships/hyperlink" Target="https://www.geostat.ge/ka/modules/categories/23/mtliani-shida-produkti-mshp" TargetMode="External"/><Relationship Id="rId9" Type="http://schemas.openxmlformats.org/officeDocument/2006/relationships/hyperlink" Target="https://www.geostat.ge/ka/modules/categories/26/samomkhmareblo-fasebis-indeksi-inflat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66D40F-24FA-4716-B0DC-9AE3198A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52</Pages>
  <Words>12811</Words>
  <Characters>73025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Tamar Gabunia</cp:lastModifiedBy>
  <cp:revision>6</cp:revision>
  <cp:lastPrinted>2019-05-03T16:19:00Z</cp:lastPrinted>
  <dcterms:created xsi:type="dcterms:W3CDTF">2019-05-28T11:14:00Z</dcterms:created>
  <dcterms:modified xsi:type="dcterms:W3CDTF">2019-05-29T14:54:00Z</dcterms:modified>
</cp:coreProperties>
</file>